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441" w:rsidRDefault="00636441" w:rsidP="003C1EBC">
      <w:pPr>
        <w:ind w:right="-46"/>
        <w:rPr>
          <w:rFonts w:ascii="Times New Roman" w:hAnsi="Times New Roman" w:cs="Times New Roman"/>
          <w:sz w:val="24"/>
          <w:szCs w:val="24"/>
          <w:lang w:val="en-US"/>
        </w:rPr>
      </w:pPr>
    </w:p>
    <w:p w:rsidR="00636441" w:rsidRDefault="00636441" w:rsidP="00636441">
      <w:pPr>
        <w:ind w:right="-711"/>
        <w:rPr>
          <w:rFonts w:ascii="Times New Roman" w:hAnsi="Times New Roman" w:cs="Times New Roman"/>
          <w:noProof/>
          <w:sz w:val="24"/>
          <w:szCs w:val="24"/>
        </w:rPr>
      </w:pPr>
    </w:p>
    <w:p w:rsidR="00636441" w:rsidRDefault="00636441" w:rsidP="00636441">
      <w:pPr>
        <w:ind w:right="-711"/>
        <w:rPr>
          <w:rFonts w:ascii="Times New Roman" w:hAnsi="Times New Roman" w:cs="Times New Roman"/>
          <w:b/>
          <w:bCs/>
          <w:sz w:val="26"/>
          <w:szCs w:val="26"/>
        </w:rPr>
      </w:pPr>
      <w:r w:rsidRPr="006149B8">
        <w:rPr>
          <w:rFonts w:ascii="Times New Roman" w:hAnsi="Times New Roman" w:cs="Times New Roman"/>
          <w:noProof/>
          <w:sz w:val="24"/>
          <w:szCs w:val="24"/>
          <w:lang w:eastAsia="ru-RU"/>
        </w:rPr>
        <w:drawing>
          <wp:anchor distT="0" distB="0" distL="0" distR="0" simplePos="0" relativeHeight="251644928" behindDoc="1" locked="0" layoutInCell="1" allowOverlap="1" wp14:anchorId="6C38A3C9" wp14:editId="53F04357">
            <wp:simplePos x="0" y="0"/>
            <wp:positionH relativeFrom="page">
              <wp:align>left</wp:align>
            </wp:positionH>
            <wp:positionV relativeFrom="page">
              <wp:align>bottom</wp:align>
            </wp:positionV>
            <wp:extent cx="7524750" cy="10648059"/>
            <wp:effectExtent l="0" t="0" r="0" b="1270"/>
            <wp:wrapNone/>
            <wp:docPr id="348392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0" cy="10648059"/>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636441" w:rsidRDefault="00636441" w:rsidP="003C1EBC">
      <w:pPr>
        <w:ind w:right="-46"/>
        <w:rPr>
          <w:rFonts w:ascii="Times New Roman" w:hAnsi="Times New Roman" w:cs="Times New Roman"/>
          <w:sz w:val="24"/>
          <w:szCs w:val="24"/>
          <w:lang w:val="en-US"/>
        </w:rPr>
      </w:pPr>
    </w:p>
    <w:p w:rsidR="00636441" w:rsidRDefault="00636441" w:rsidP="003C1EBC">
      <w:pPr>
        <w:ind w:right="-46"/>
        <w:rPr>
          <w:rFonts w:ascii="Times New Roman" w:hAnsi="Times New Roman" w:cs="Times New Roman"/>
          <w:sz w:val="24"/>
          <w:szCs w:val="24"/>
          <w:lang w:val="en-US"/>
        </w:rPr>
      </w:pPr>
    </w:p>
    <w:p w:rsidR="00636441" w:rsidRDefault="00636441" w:rsidP="003C1EBC">
      <w:pPr>
        <w:ind w:right="-46"/>
        <w:rPr>
          <w:rFonts w:ascii="Times New Roman" w:hAnsi="Times New Roman" w:cs="Times New Roman"/>
          <w:sz w:val="24"/>
          <w:szCs w:val="24"/>
          <w:lang w:val="en-US"/>
        </w:rPr>
      </w:pPr>
    </w:p>
    <w:p w:rsidR="00636441" w:rsidRDefault="00636441" w:rsidP="003C1EBC">
      <w:pPr>
        <w:ind w:right="-46"/>
        <w:rPr>
          <w:rFonts w:ascii="Times New Roman" w:hAnsi="Times New Roman" w:cs="Times New Roman"/>
          <w:sz w:val="24"/>
          <w:szCs w:val="24"/>
          <w:lang w:val="en-US"/>
        </w:rPr>
      </w:pPr>
    </w:p>
    <w:p w:rsidR="00636441" w:rsidRDefault="00636441" w:rsidP="003C1EBC">
      <w:pPr>
        <w:ind w:right="-46"/>
        <w:rPr>
          <w:rFonts w:ascii="Times New Roman" w:hAnsi="Times New Roman" w:cs="Times New Roman"/>
          <w:sz w:val="24"/>
          <w:szCs w:val="24"/>
          <w:lang w:val="en-US"/>
        </w:rPr>
      </w:pPr>
    </w:p>
    <w:p w:rsidR="00636441" w:rsidRDefault="00636441" w:rsidP="003C1EBC">
      <w:pPr>
        <w:ind w:right="-46"/>
        <w:rPr>
          <w:rFonts w:ascii="Times New Roman" w:hAnsi="Times New Roman" w:cs="Times New Roman"/>
          <w:sz w:val="24"/>
          <w:szCs w:val="24"/>
          <w:lang w:val="en-US"/>
        </w:rPr>
      </w:pPr>
    </w:p>
    <w:p w:rsidR="00636441" w:rsidRDefault="00636441" w:rsidP="003C1EBC">
      <w:pPr>
        <w:ind w:right="-46"/>
        <w:rPr>
          <w:rFonts w:ascii="Times New Roman" w:hAnsi="Times New Roman" w:cs="Times New Roman"/>
          <w:sz w:val="24"/>
          <w:szCs w:val="24"/>
          <w:lang w:val="en-US"/>
        </w:rPr>
      </w:pPr>
    </w:p>
    <w:p w:rsidR="00636441" w:rsidRDefault="00636441" w:rsidP="00636441">
      <w:pPr>
        <w:spacing w:after="0" w:line="240" w:lineRule="auto"/>
        <w:rPr>
          <w:rFonts w:ascii="Times New Roman" w:hAnsi="Times New Roman" w:cs="Times New Roman"/>
          <w:b/>
          <w:sz w:val="72"/>
          <w:szCs w:val="72"/>
        </w:rPr>
      </w:pPr>
    </w:p>
    <w:p w:rsidR="00636441" w:rsidRPr="00CA2558" w:rsidRDefault="00CA2558" w:rsidP="00636441">
      <w:pPr>
        <w:spacing w:after="0" w:line="240" w:lineRule="auto"/>
        <w:jc w:val="center"/>
        <w:rPr>
          <w:rFonts w:ascii="Times New Roman" w:hAnsi="Times New Roman" w:cs="Times New Roman"/>
          <w:b/>
          <w:caps/>
          <w:sz w:val="56"/>
          <w:szCs w:val="56"/>
        </w:rPr>
      </w:pPr>
      <w:r w:rsidRPr="00CA2558">
        <w:rPr>
          <w:rFonts w:ascii="Times New Roman" w:hAnsi="Times New Roman" w:cs="Times New Roman"/>
          <w:b/>
          <w:sz w:val="56"/>
          <w:szCs w:val="56"/>
        </w:rPr>
        <w:t xml:space="preserve">HEPATITA VIRALĂ </w:t>
      </w:r>
      <w:r w:rsidR="00636441" w:rsidRPr="00CA2558">
        <w:rPr>
          <w:rFonts w:ascii="Times New Roman" w:hAnsi="Times New Roman" w:cs="Times New Roman"/>
          <w:b/>
          <w:caps/>
          <w:sz w:val="56"/>
          <w:szCs w:val="56"/>
        </w:rPr>
        <w:t xml:space="preserve">C </w:t>
      </w:r>
    </w:p>
    <w:p w:rsidR="00636441" w:rsidRPr="00CA2558" w:rsidRDefault="00CA2558" w:rsidP="00636441">
      <w:pPr>
        <w:spacing w:after="0" w:line="240" w:lineRule="auto"/>
        <w:jc w:val="center"/>
        <w:rPr>
          <w:rFonts w:ascii="Times New Roman" w:hAnsi="Times New Roman" w:cs="Times New Roman"/>
          <w:b/>
          <w:sz w:val="56"/>
          <w:szCs w:val="56"/>
        </w:rPr>
      </w:pPr>
      <w:r w:rsidRPr="00CA2558">
        <w:rPr>
          <w:rFonts w:ascii="Times New Roman" w:hAnsi="Times New Roman" w:cs="Times New Roman"/>
          <w:b/>
          <w:sz w:val="56"/>
          <w:szCs w:val="56"/>
        </w:rPr>
        <w:t>CRONICĂ</w:t>
      </w:r>
      <w:r w:rsidRPr="00CA2558">
        <w:rPr>
          <w:rFonts w:ascii="Times New Roman" w:hAnsi="Times New Roman" w:cs="Times New Roman"/>
          <w:b/>
          <w:sz w:val="56"/>
          <w:szCs w:val="56"/>
          <w:lang w:val="ro-MD"/>
        </w:rPr>
        <w:t xml:space="preserve"> </w:t>
      </w:r>
      <w:r w:rsidRPr="00CA2558">
        <w:rPr>
          <w:rFonts w:ascii="Times New Roman" w:hAnsi="Times New Roman" w:cs="Times New Roman"/>
          <w:b/>
          <w:sz w:val="56"/>
          <w:szCs w:val="56"/>
        </w:rPr>
        <w:t>LA ADULT</w:t>
      </w:r>
    </w:p>
    <w:p w:rsidR="00636441" w:rsidRPr="00636441" w:rsidRDefault="00636441" w:rsidP="00636441">
      <w:pPr>
        <w:spacing w:after="0" w:line="240" w:lineRule="auto"/>
        <w:rPr>
          <w:rFonts w:ascii="Times New Roman" w:hAnsi="Times New Roman" w:cs="Times New Roman"/>
          <w:b/>
          <w:sz w:val="48"/>
          <w:szCs w:val="48"/>
        </w:rPr>
      </w:pPr>
    </w:p>
    <w:p w:rsidR="00636441" w:rsidRDefault="00636441" w:rsidP="00636441">
      <w:pPr>
        <w:spacing w:after="0" w:line="240" w:lineRule="auto"/>
        <w:jc w:val="center"/>
        <w:rPr>
          <w:rFonts w:ascii="Times New Roman" w:hAnsi="Times New Roman" w:cs="Times New Roman"/>
          <w:b/>
          <w:sz w:val="52"/>
          <w:szCs w:val="52"/>
        </w:rPr>
      </w:pPr>
    </w:p>
    <w:p w:rsidR="00636441" w:rsidRPr="00636441" w:rsidRDefault="00CA2558" w:rsidP="00636441">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Protocol Clinic N</w:t>
      </w:r>
      <w:r w:rsidR="00636441" w:rsidRPr="00636441">
        <w:rPr>
          <w:rFonts w:ascii="Times New Roman" w:hAnsi="Times New Roman" w:cs="Times New Roman"/>
          <w:b/>
          <w:sz w:val="52"/>
          <w:szCs w:val="52"/>
        </w:rPr>
        <w:t>aţional</w:t>
      </w:r>
    </w:p>
    <w:p w:rsidR="00636441" w:rsidRPr="00636441" w:rsidRDefault="00636441" w:rsidP="00636441">
      <w:pPr>
        <w:spacing w:after="0" w:line="240" w:lineRule="auto"/>
        <w:jc w:val="center"/>
        <w:rPr>
          <w:rFonts w:ascii="Times New Roman" w:hAnsi="Times New Roman" w:cs="Times New Roman"/>
          <w:b/>
          <w:sz w:val="52"/>
          <w:szCs w:val="52"/>
        </w:rPr>
      </w:pPr>
      <w:r w:rsidRPr="00636441">
        <w:rPr>
          <w:rFonts w:ascii="Times New Roman" w:hAnsi="Times New Roman" w:cs="Times New Roman"/>
          <w:b/>
          <w:sz w:val="52"/>
          <w:szCs w:val="52"/>
        </w:rPr>
        <w:t>(ediția V)</w:t>
      </w:r>
    </w:p>
    <w:p w:rsidR="00636441" w:rsidRDefault="00636441" w:rsidP="00636441">
      <w:pPr>
        <w:spacing w:after="0" w:line="240" w:lineRule="auto"/>
        <w:jc w:val="right"/>
        <w:rPr>
          <w:rFonts w:ascii="Times New Roman" w:hAnsi="Times New Roman" w:cs="Times New Roman"/>
          <w:b/>
          <w:szCs w:val="24"/>
        </w:rPr>
      </w:pPr>
    </w:p>
    <w:p w:rsidR="00636441" w:rsidRDefault="00636441" w:rsidP="00636441">
      <w:pPr>
        <w:spacing w:after="0" w:line="240" w:lineRule="auto"/>
        <w:jc w:val="right"/>
        <w:rPr>
          <w:rFonts w:ascii="Times New Roman" w:hAnsi="Times New Roman" w:cs="Times New Roman"/>
          <w:b/>
          <w:szCs w:val="24"/>
        </w:rPr>
      </w:pPr>
    </w:p>
    <w:p w:rsidR="00636441" w:rsidRDefault="00636441" w:rsidP="00636441">
      <w:pPr>
        <w:spacing w:after="0" w:line="240" w:lineRule="auto"/>
        <w:jc w:val="right"/>
        <w:rPr>
          <w:rFonts w:ascii="Times New Roman" w:hAnsi="Times New Roman" w:cs="Times New Roman"/>
          <w:b/>
          <w:szCs w:val="24"/>
        </w:rPr>
      </w:pPr>
    </w:p>
    <w:p w:rsidR="00636441" w:rsidRDefault="00636441" w:rsidP="00636441">
      <w:pPr>
        <w:spacing w:after="0" w:line="240" w:lineRule="auto"/>
        <w:jc w:val="right"/>
        <w:rPr>
          <w:rFonts w:ascii="Times New Roman" w:hAnsi="Times New Roman" w:cs="Times New Roman"/>
          <w:b/>
          <w:szCs w:val="24"/>
        </w:rPr>
      </w:pPr>
    </w:p>
    <w:p w:rsidR="00CA2558" w:rsidRDefault="00CA2558" w:rsidP="00636441">
      <w:pPr>
        <w:spacing w:after="0" w:line="240" w:lineRule="auto"/>
        <w:jc w:val="center"/>
        <w:rPr>
          <w:rFonts w:ascii="Times New Roman" w:hAnsi="Times New Roman" w:cs="Times New Roman"/>
          <w:b/>
          <w:sz w:val="72"/>
          <w:szCs w:val="72"/>
        </w:rPr>
      </w:pPr>
    </w:p>
    <w:p w:rsidR="00636441" w:rsidRPr="00CA2558" w:rsidRDefault="00636441" w:rsidP="00636441">
      <w:pPr>
        <w:spacing w:after="0" w:line="240" w:lineRule="auto"/>
        <w:jc w:val="center"/>
        <w:rPr>
          <w:rFonts w:ascii="Times New Roman" w:hAnsi="Times New Roman" w:cs="Times New Roman"/>
          <w:b/>
          <w:sz w:val="56"/>
          <w:szCs w:val="56"/>
        </w:rPr>
      </w:pPr>
      <w:r w:rsidRPr="00CA2558">
        <w:rPr>
          <w:rFonts w:ascii="Times New Roman" w:hAnsi="Times New Roman" w:cs="Times New Roman"/>
          <w:b/>
          <w:sz w:val="56"/>
          <w:szCs w:val="56"/>
        </w:rPr>
        <w:t>PCN-24</w:t>
      </w:r>
    </w:p>
    <w:p w:rsidR="00636441" w:rsidRDefault="00636441" w:rsidP="00636441">
      <w:pPr>
        <w:spacing w:after="0" w:line="240" w:lineRule="auto"/>
        <w:jc w:val="center"/>
        <w:rPr>
          <w:rFonts w:ascii="Times New Roman" w:hAnsi="Times New Roman" w:cs="Times New Roman"/>
          <w:b/>
          <w:sz w:val="72"/>
          <w:szCs w:val="72"/>
        </w:rPr>
      </w:pPr>
    </w:p>
    <w:p w:rsidR="00CA2558" w:rsidRDefault="00CA2558" w:rsidP="00636441">
      <w:pPr>
        <w:spacing w:after="0" w:line="240" w:lineRule="auto"/>
        <w:jc w:val="center"/>
        <w:rPr>
          <w:rFonts w:ascii="Times New Roman" w:hAnsi="Times New Roman" w:cs="Times New Roman"/>
          <w:b/>
          <w:sz w:val="72"/>
          <w:szCs w:val="72"/>
        </w:rPr>
      </w:pPr>
    </w:p>
    <w:p w:rsidR="00636441" w:rsidRPr="00636441" w:rsidRDefault="00636441" w:rsidP="003C1EBC">
      <w:pPr>
        <w:ind w:right="-46"/>
        <w:rPr>
          <w:rFonts w:ascii="Times New Roman" w:hAnsi="Times New Roman" w:cs="Times New Roman"/>
          <w:b/>
          <w:sz w:val="48"/>
          <w:szCs w:val="48"/>
          <w:lang w:val="ro-MD"/>
        </w:rPr>
      </w:pPr>
      <w:r w:rsidRPr="006149B8">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12807B94" wp14:editId="66119DF4">
                <wp:simplePos x="0" y="0"/>
                <wp:positionH relativeFrom="page">
                  <wp:posOffset>2758993</wp:posOffset>
                </wp:positionH>
                <wp:positionV relativeFrom="paragraph">
                  <wp:posOffset>1143662</wp:posOffset>
                </wp:positionV>
                <wp:extent cx="2029460" cy="566420"/>
                <wp:effectExtent l="0" t="0" r="0" b="5080"/>
                <wp:wrapNone/>
                <wp:docPr id="461053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9460" cy="566420"/>
                        </a:xfrm>
                        <a:prstGeom prst="rect">
                          <a:avLst/>
                        </a:prstGeom>
                        <a:noFill/>
                        <a:ln w="6350">
                          <a:noFill/>
                        </a:ln>
                      </wps:spPr>
                      <wps:txbx>
                        <w:txbxContent>
                          <w:p w:rsidR="008E45E5" w:rsidRPr="0007165A" w:rsidRDefault="008E45E5" w:rsidP="00636441">
                            <w:pPr>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07B94" id="_x0000_t202" coordsize="21600,21600" o:spt="202" path="m,l,21600r21600,l21600,xe">
                <v:stroke joinstyle="miter"/>
                <v:path gradientshapeok="t" o:connecttype="rect"/>
              </v:shapetype>
              <v:shape id="Text Box 5" o:spid="_x0000_s1026" type="#_x0000_t202" style="position:absolute;margin-left:217.25pt;margin-top:90.05pt;width:159.8pt;height:44.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" filled="f" stroked="f" strokeweight=".5pt">
                <v:path arrowok="t"/>
                <v:textbox>
                  <w:txbxContent>
                    <w:p w:rsidR="008E45E5" w:rsidRPr="0007165A" w:rsidRDefault="008E45E5" w:rsidP="00636441">
                      <w:pPr>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2025</w:t>
                      </w:r>
                    </w:p>
                  </w:txbxContent>
                </v:textbox>
                <w10:wrap anchorx="page"/>
              </v:shape>
            </w:pict>
          </mc:Fallback>
        </mc:AlternateContent>
      </w:r>
    </w:p>
    <w:p w:rsidR="00636441" w:rsidRDefault="00636441" w:rsidP="003C1EBC">
      <w:pPr>
        <w:ind w:right="-46"/>
        <w:rPr>
          <w:rFonts w:ascii="Times New Roman" w:hAnsi="Times New Roman" w:cs="Times New Roman"/>
          <w:sz w:val="24"/>
          <w:szCs w:val="24"/>
          <w:lang w:val="en-US"/>
        </w:rPr>
      </w:pPr>
    </w:p>
    <w:p w:rsidR="00636441" w:rsidRPr="0095546B" w:rsidRDefault="00636441" w:rsidP="00636441">
      <w:pPr>
        <w:spacing w:after="120"/>
        <w:jc w:val="center"/>
        <w:rPr>
          <w:rFonts w:ascii="Times New Roman" w:hAnsi="Times New Roman" w:cs="Times New Roman"/>
          <w:spacing w:val="-10"/>
          <w:sz w:val="24"/>
        </w:rPr>
      </w:pPr>
      <w:r w:rsidRPr="0095546B">
        <w:rPr>
          <w:rFonts w:ascii="Times New Roman" w:hAnsi="Times New Roman" w:cs="Times New Roman"/>
          <w:sz w:val="24"/>
        </w:rPr>
        <w:t xml:space="preserve">Aprobat în cadrul ședinţei Consiliului Calității din </w:t>
      </w:r>
      <w:r w:rsidR="00EA5AEA" w:rsidRPr="00EA5AEA">
        <w:rPr>
          <w:rFonts w:ascii="Times New Roman" w:hAnsi="Times New Roman" w:cs="Times New Roman"/>
          <w:sz w:val="24"/>
          <w:lang w:val="ro-MD"/>
        </w:rPr>
        <w:t>03.04</w:t>
      </w:r>
      <w:r w:rsidRPr="0095546B">
        <w:rPr>
          <w:rFonts w:ascii="Times New Roman" w:hAnsi="Times New Roman" w:cs="Times New Roman"/>
          <w:sz w:val="24"/>
        </w:rPr>
        <w:t>.2025,</w:t>
      </w:r>
      <w:r w:rsidRPr="0095546B">
        <w:rPr>
          <w:rFonts w:ascii="Times New Roman" w:hAnsi="Times New Roman" w:cs="Times New Roman"/>
          <w:spacing w:val="-6"/>
          <w:sz w:val="24"/>
        </w:rPr>
        <w:t xml:space="preserve"> </w:t>
      </w:r>
      <w:r w:rsidRPr="0095546B">
        <w:rPr>
          <w:rFonts w:ascii="Times New Roman" w:hAnsi="Times New Roman" w:cs="Times New Roman"/>
          <w:sz w:val="24"/>
        </w:rPr>
        <w:t>proces</w:t>
      </w:r>
      <w:r w:rsidRPr="0095546B">
        <w:rPr>
          <w:rFonts w:ascii="Times New Roman" w:hAnsi="Times New Roman" w:cs="Times New Roman"/>
          <w:spacing w:val="-4"/>
          <w:sz w:val="24"/>
        </w:rPr>
        <w:t xml:space="preserve"> </w:t>
      </w:r>
      <w:r w:rsidRPr="0095546B">
        <w:rPr>
          <w:rFonts w:ascii="Times New Roman" w:hAnsi="Times New Roman" w:cs="Times New Roman"/>
          <w:sz w:val="24"/>
        </w:rPr>
        <w:t>verbal</w:t>
      </w:r>
      <w:r w:rsidRPr="0095546B">
        <w:rPr>
          <w:rFonts w:ascii="Times New Roman" w:hAnsi="Times New Roman" w:cs="Times New Roman"/>
          <w:spacing w:val="-4"/>
          <w:sz w:val="24"/>
        </w:rPr>
        <w:t xml:space="preserve"> </w:t>
      </w:r>
      <w:r w:rsidRPr="0095546B">
        <w:rPr>
          <w:rFonts w:ascii="Times New Roman" w:hAnsi="Times New Roman" w:cs="Times New Roman"/>
          <w:sz w:val="24"/>
        </w:rPr>
        <w:t>nr.</w:t>
      </w:r>
      <w:r w:rsidRPr="0095546B">
        <w:rPr>
          <w:rFonts w:ascii="Times New Roman" w:hAnsi="Times New Roman" w:cs="Times New Roman"/>
          <w:spacing w:val="-5"/>
          <w:sz w:val="24"/>
        </w:rPr>
        <w:t xml:space="preserve"> </w:t>
      </w:r>
      <w:r w:rsidR="00A55B14">
        <w:rPr>
          <w:rFonts w:ascii="Times New Roman" w:hAnsi="Times New Roman" w:cs="Times New Roman"/>
          <w:spacing w:val="-5"/>
          <w:sz w:val="24"/>
          <w:lang w:val="ro-MD"/>
        </w:rPr>
        <w:t>3</w:t>
      </w:r>
      <w:r w:rsidRPr="00EA5AEA">
        <w:rPr>
          <w:rFonts w:ascii="Times New Roman" w:hAnsi="Times New Roman" w:cs="Times New Roman"/>
          <w:spacing w:val="-10"/>
          <w:sz w:val="24"/>
        </w:rPr>
        <w:t>.</w:t>
      </w:r>
    </w:p>
    <w:p w:rsidR="00636441" w:rsidRPr="0095546B" w:rsidRDefault="00636441" w:rsidP="00636441">
      <w:pPr>
        <w:jc w:val="center"/>
        <w:rPr>
          <w:rFonts w:ascii="Times New Roman" w:hAnsi="Times New Roman" w:cs="Times New Roman"/>
          <w:sz w:val="24"/>
        </w:rPr>
      </w:pPr>
      <w:r w:rsidRPr="0095546B">
        <w:rPr>
          <w:rFonts w:ascii="Times New Roman" w:hAnsi="Times New Roman" w:cs="Times New Roman"/>
          <w:sz w:val="24"/>
        </w:rPr>
        <w:t>Aprobat</w:t>
      </w:r>
      <w:r w:rsidRPr="0095546B">
        <w:rPr>
          <w:rFonts w:ascii="Times New Roman" w:hAnsi="Times New Roman" w:cs="Times New Roman"/>
          <w:spacing w:val="-10"/>
          <w:sz w:val="24"/>
        </w:rPr>
        <w:t xml:space="preserve"> prin ordinul SCR ,,Timofei Moșneaga” nr. </w:t>
      </w:r>
      <w:r w:rsidR="00A00DDE" w:rsidRPr="00A00DDE">
        <w:rPr>
          <w:rFonts w:ascii="Times New Roman" w:hAnsi="Times New Roman" w:cs="Times New Roman"/>
          <w:spacing w:val="-10"/>
          <w:sz w:val="24"/>
          <w:lang w:val="ro-MD"/>
        </w:rPr>
        <w:t>81</w:t>
      </w:r>
      <w:r w:rsidRPr="0095546B">
        <w:rPr>
          <w:rFonts w:ascii="Times New Roman" w:hAnsi="Times New Roman" w:cs="Times New Roman"/>
          <w:spacing w:val="-10"/>
          <w:sz w:val="24"/>
        </w:rPr>
        <w:t xml:space="preserve"> din </w:t>
      </w:r>
      <w:r w:rsidR="00A00DDE" w:rsidRPr="00A00DDE">
        <w:rPr>
          <w:rFonts w:ascii="Times New Roman" w:hAnsi="Times New Roman" w:cs="Times New Roman"/>
          <w:spacing w:val="-10"/>
          <w:sz w:val="24"/>
        </w:rPr>
        <w:t>17</w:t>
      </w:r>
      <w:r w:rsidRPr="00A00DDE">
        <w:rPr>
          <w:rFonts w:ascii="Times New Roman" w:hAnsi="Times New Roman" w:cs="Times New Roman"/>
          <w:spacing w:val="-10"/>
          <w:sz w:val="24"/>
        </w:rPr>
        <w:t>.</w:t>
      </w:r>
      <w:r w:rsidR="00A00DDE" w:rsidRPr="00A00DDE">
        <w:rPr>
          <w:rFonts w:ascii="Times New Roman" w:hAnsi="Times New Roman" w:cs="Times New Roman"/>
          <w:spacing w:val="-10"/>
          <w:sz w:val="24"/>
        </w:rPr>
        <w:t>04</w:t>
      </w:r>
      <w:r w:rsidRPr="00A00DDE">
        <w:rPr>
          <w:rFonts w:ascii="Times New Roman" w:hAnsi="Times New Roman" w:cs="Times New Roman"/>
          <w:spacing w:val="-10"/>
          <w:sz w:val="24"/>
        </w:rPr>
        <w:t>.</w:t>
      </w:r>
      <w:r w:rsidRPr="0095546B">
        <w:rPr>
          <w:rFonts w:ascii="Times New Roman" w:hAnsi="Times New Roman" w:cs="Times New Roman"/>
          <w:spacing w:val="-10"/>
          <w:sz w:val="24"/>
        </w:rPr>
        <w:t xml:space="preserve">2025 ,,Cu privire la aprobarea Protocoalelor </w:t>
      </w:r>
      <w:r w:rsidRPr="0095546B">
        <w:rPr>
          <w:rFonts w:ascii="Times New Roman" w:hAnsi="Times New Roman" w:cs="Times New Roman"/>
          <w:sz w:val="24"/>
        </w:rPr>
        <w:t>Clinice Instituționale”.</w:t>
      </w:r>
    </w:p>
    <w:p w:rsidR="00636441" w:rsidRPr="00244E53" w:rsidRDefault="00636441" w:rsidP="00636441">
      <w:pPr>
        <w:pStyle w:val="af9"/>
        <w:spacing w:after="120" w:afterAutospacing="0"/>
        <w:jc w:val="both"/>
        <w:rPr>
          <w:lang w:val="ro-MD" w:eastAsia="en-US"/>
        </w:rPr>
      </w:pPr>
      <w:r w:rsidRPr="001C301F">
        <w:rPr>
          <w:sz w:val="28"/>
          <w:szCs w:val="28"/>
          <w:lang w:val="en-US" w:eastAsia="en-US"/>
        </w:rPr>
        <w:t xml:space="preserve">      </w:t>
      </w:r>
      <w:r w:rsidRPr="00A30989">
        <w:rPr>
          <w:lang w:val="en-US" w:eastAsia="en-US"/>
        </w:rPr>
        <w:t xml:space="preserve">Acest </w:t>
      </w:r>
      <w:r>
        <w:rPr>
          <w:lang w:val="en-US" w:eastAsia="en-US"/>
        </w:rPr>
        <w:t>Protocol Clinic Instituțional</w:t>
      </w:r>
      <w:r w:rsidRPr="00A30989">
        <w:rPr>
          <w:lang w:val="en-US" w:eastAsia="en-US"/>
        </w:rPr>
        <w:t xml:space="preserve"> a fost </w:t>
      </w:r>
      <w:r>
        <w:rPr>
          <w:lang w:val="en-US" w:eastAsia="en-US"/>
        </w:rPr>
        <w:t xml:space="preserve">elaborat </w:t>
      </w:r>
      <w:r>
        <w:rPr>
          <w:lang w:eastAsia="en-US"/>
        </w:rPr>
        <w:t xml:space="preserve">în baza </w:t>
      </w:r>
      <w:r w:rsidRPr="00A12FCC">
        <w:t>Protocolul</w:t>
      </w:r>
      <w:r>
        <w:rPr>
          <w:lang w:val="ro-MD"/>
        </w:rPr>
        <w:t xml:space="preserve">ui </w:t>
      </w:r>
      <w:r>
        <w:t>C</w:t>
      </w:r>
      <w:r w:rsidRPr="00A12FCC">
        <w:t>linic</w:t>
      </w:r>
      <w:r w:rsidRPr="00A12FCC">
        <w:rPr>
          <w:spacing w:val="-2"/>
        </w:rPr>
        <w:t xml:space="preserve"> </w:t>
      </w:r>
      <w:r>
        <w:t>N</w:t>
      </w:r>
      <w:r w:rsidRPr="00A12FCC">
        <w:t>aţional</w:t>
      </w:r>
      <w:r>
        <w:rPr>
          <w:lang w:val="ro-MD"/>
        </w:rPr>
        <w:t xml:space="preserve"> </w:t>
      </w:r>
      <w:r>
        <w:rPr>
          <w:spacing w:val="-8"/>
        </w:rPr>
        <w:t>–</w:t>
      </w:r>
      <w:r>
        <w:rPr>
          <w:spacing w:val="-8"/>
          <w:lang w:val="ro-MD"/>
        </w:rPr>
        <w:t xml:space="preserve"> </w:t>
      </w:r>
      <w:r w:rsidR="003B05B7">
        <w:rPr>
          <w:spacing w:val="-8"/>
          <w:lang w:val="ro-MD"/>
        </w:rPr>
        <w:t>24</w:t>
      </w:r>
      <w:r>
        <w:rPr>
          <w:spacing w:val="-8"/>
          <w:lang w:val="ro-MD"/>
        </w:rPr>
        <w:t xml:space="preserve"> ,,</w:t>
      </w:r>
      <w:r w:rsidR="003B05B7">
        <w:rPr>
          <w:spacing w:val="-8"/>
          <w:lang w:val="ro-MD"/>
        </w:rPr>
        <w:t>Hepatită virală C cronică</w:t>
      </w:r>
      <w:r>
        <w:rPr>
          <w:spacing w:val="-8"/>
          <w:lang w:val="ro-MD"/>
        </w:rPr>
        <w:t xml:space="preserve"> la adult”</w:t>
      </w:r>
      <w:r w:rsidRPr="00A30989">
        <w:rPr>
          <w:lang w:val="en-US" w:eastAsia="en-US"/>
        </w:rPr>
        <w:t xml:space="preserve"> de grupul de lucru </w:t>
      </w:r>
      <w:r>
        <w:rPr>
          <w:lang w:val="en-US" w:eastAsia="en-US"/>
        </w:rPr>
        <w:t xml:space="preserve">al </w:t>
      </w:r>
      <w:r w:rsidRPr="00A30989">
        <w:rPr>
          <w:lang w:val="en-US" w:eastAsia="en-US"/>
        </w:rPr>
        <w:t xml:space="preserve">IMSP Spitalului Clinic Republican </w:t>
      </w:r>
      <w:bookmarkStart w:id="0" w:name="_GoBack"/>
      <w:bookmarkEnd w:id="0"/>
      <w:r w:rsidRPr="00A30989">
        <w:rPr>
          <w:lang w:val="en-US" w:eastAsia="en-US"/>
        </w:rPr>
        <w:t>,,Timofei Moșneaga"</w:t>
      </w:r>
      <w:r>
        <w:rPr>
          <w:spacing w:val="-8"/>
          <w:lang w:val="ro-MD"/>
        </w:rPr>
        <w:t>”</w:t>
      </w:r>
      <w:r w:rsidRPr="00A30989">
        <w:rPr>
          <w:lang w:val="en-US" w:eastAsia="en-US"/>
        </w:rPr>
        <w:t xml:space="preserve">, </w:t>
      </w:r>
      <w:r>
        <w:rPr>
          <w:lang w:val="en-US" w:eastAsia="en-US"/>
        </w:rPr>
        <w:t>instituit</w:t>
      </w:r>
      <w:r w:rsidRPr="00A30989">
        <w:rPr>
          <w:lang w:val="en-US" w:eastAsia="en-US"/>
        </w:rPr>
        <w:t xml:space="preserve"> prin ordinul nr.</w:t>
      </w:r>
      <w:r>
        <w:rPr>
          <w:lang w:val="en-US" w:eastAsia="en-US"/>
        </w:rPr>
        <w:t xml:space="preserve"> 34</w:t>
      </w:r>
      <w:r w:rsidR="006D1FAA">
        <w:rPr>
          <w:lang w:val="en-US" w:eastAsia="en-US"/>
        </w:rPr>
        <w:t xml:space="preserve"> </w:t>
      </w:r>
      <w:r w:rsidRPr="00A30989">
        <w:rPr>
          <w:lang w:val="en-US" w:eastAsia="en-US"/>
        </w:rPr>
        <w:t xml:space="preserve">din </w:t>
      </w:r>
      <w:r>
        <w:rPr>
          <w:lang w:val="en-US" w:eastAsia="en-US"/>
        </w:rPr>
        <w:t>11.02.2025</w:t>
      </w:r>
      <w:r w:rsidRPr="00A30989">
        <w:rPr>
          <w:lang w:val="en-US" w:eastAsia="en-US"/>
        </w:rPr>
        <w:t xml:space="preserve"> al IMSP Spitalului Clinic Republican ,,Timofei Moșneaga" „Cu privire la elaborarea Protoc</w:t>
      </w:r>
      <w:r>
        <w:rPr>
          <w:lang w:val="en-US" w:eastAsia="en-US"/>
        </w:rPr>
        <w:t>oalelor Clinice Instituționale”</w:t>
      </w:r>
      <w:r>
        <w:rPr>
          <w:lang w:eastAsia="en-US"/>
        </w:rPr>
        <w:t>.</w:t>
      </w:r>
    </w:p>
    <w:p w:rsidR="00636441" w:rsidRPr="00791C18" w:rsidRDefault="00636441" w:rsidP="00636441">
      <w:pPr>
        <w:pStyle w:val="af9"/>
        <w:spacing w:after="0" w:afterAutospacing="0"/>
        <w:jc w:val="both"/>
        <w:rPr>
          <w:lang w:eastAsia="en-US"/>
        </w:rPr>
      </w:pPr>
    </w:p>
    <w:tbl>
      <w:tblPr>
        <w:tblStyle w:val="a3"/>
        <w:tblW w:w="9498" w:type="dxa"/>
        <w:tblInd w:w="108" w:type="dxa"/>
        <w:tblLook w:val="04A0" w:firstRow="1" w:lastRow="0" w:firstColumn="1" w:lastColumn="0" w:noHBand="0" w:noVBand="1"/>
      </w:tblPr>
      <w:tblGrid>
        <w:gridCol w:w="3573"/>
        <w:gridCol w:w="5925"/>
      </w:tblGrid>
      <w:tr w:rsidR="00636441" w:rsidRPr="00BB5D1C" w:rsidTr="0052216E">
        <w:tc>
          <w:tcPr>
            <w:tcW w:w="3573" w:type="dxa"/>
          </w:tcPr>
          <w:p w:rsidR="00636441" w:rsidRPr="0095546B" w:rsidRDefault="00636441" w:rsidP="00636441">
            <w:pPr>
              <w:jc w:val="center"/>
              <w:rPr>
                <w:rFonts w:ascii="Times New Roman" w:hAnsi="Times New Roman" w:cs="Times New Roman"/>
                <w:b/>
                <w:sz w:val="24"/>
              </w:rPr>
            </w:pPr>
            <w:r w:rsidRPr="0095546B">
              <w:rPr>
                <w:rFonts w:ascii="Times New Roman" w:hAnsi="Times New Roman" w:cs="Times New Roman"/>
                <w:b/>
                <w:sz w:val="24"/>
              </w:rPr>
              <w:t>Nume, prenume</w:t>
            </w:r>
          </w:p>
        </w:tc>
        <w:tc>
          <w:tcPr>
            <w:tcW w:w="5925" w:type="dxa"/>
          </w:tcPr>
          <w:p w:rsidR="00636441" w:rsidRPr="0095546B" w:rsidRDefault="00636441" w:rsidP="00636441">
            <w:pPr>
              <w:ind w:left="180" w:hanging="180"/>
              <w:rPr>
                <w:rFonts w:ascii="Times New Roman" w:hAnsi="Times New Roman" w:cs="Times New Roman"/>
                <w:b/>
                <w:sz w:val="24"/>
              </w:rPr>
            </w:pPr>
            <w:r w:rsidRPr="0095546B">
              <w:rPr>
                <w:rFonts w:ascii="Times New Roman" w:hAnsi="Times New Roman" w:cs="Times New Roman"/>
                <w:b/>
                <w:sz w:val="24"/>
              </w:rPr>
              <w:t>Subdiviziunea, funcția</w:t>
            </w:r>
          </w:p>
        </w:tc>
      </w:tr>
      <w:tr w:rsidR="00636441" w:rsidRPr="00BB5D1C" w:rsidTr="0052216E">
        <w:tc>
          <w:tcPr>
            <w:tcW w:w="3573" w:type="dxa"/>
          </w:tcPr>
          <w:p w:rsidR="00636441" w:rsidRPr="00636441" w:rsidRDefault="00636441" w:rsidP="00636441">
            <w:pPr>
              <w:rPr>
                <w:rFonts w:ascii="Times New Roman" w:hAnsi="Times New Roman" w:cs="Times New Roman"/>
                <w:sz w:val="24"/>
                <w:lang w:val="ro-MD"/>
              </w:rPr>
            </w:pPr>
            <w:r>
              <w:rPr>
                <w:rFonts w:ascii="Times New Roman" w:hAnsi="Times New Roman" w:cs="Times New Roman"/>
                <w:sz w:val="24"/>
                <w:lang w:val="ro-MD"/>
              </w:rPr>
              <w:t>Mariana Ouș</w:t>
            </w:r>
          </w:p>
        </w:tc>
        <w:tc>
          <w:tcPr>
            <w:tcW w:w="5925" w:type="dxa"/>
          </w:tcPr>
          <w:p w:rsidR="00636441" w:rsidRPr="00636441" w:rsidRDefault="00636441" w:rsidP="00636441">
            <w:pPr>
              <w:ind w:left="180" w:hanging="180"/>
              <w:rPr>
                <w:rFonts w:ascii="Times New Roman" w:hAnsi="Times New Roman" w:cs="Times New Roman"/>
                <w:sz w:val="24"/>
                <w:lang w:val="ro-MD"/>
              </w:rPr>
            </w:pPr>
            <w:r>
              <w:rPr>
                <w:rFonts w:ascii="Times New Roman" w:hAnsi="Times New Roman" w:cs="Times New Roman"/>
                <w:sz w:val="24"/>
              </w:rPr>
              <w:t xml:space="preserve">Medic specialist </w:t>
            </w:r>
            <w:r>
              <w:rPr>
                <w:rFonts w:ascii="Times New Roman" w:hAnsi="Times New Roman" w:cs="Times New Roman"/>
                <w:sz w:val="24"/>
                <w:lang w:val="ro-MD"/>
              </w:rPr>
              <w:t>gastroenterolog</w:t>
            </w:r>
            <w:r>
              <w:rPr>
                <w:rFonts w:ascii="Times New Roman" w:hAnsi="Times New Roman" w:cs="Times New Roman"/>
                <w:sz w:val="24"/>
              </w:rPr>
              <w:t>, Secția hepato</w:t>
            </w:r>
            <w:r>
              <w:rPr>
                <w:rFonts w:ascii="Times New Roman" w:hAnsi="Times New Roman" w:cs="Times New Roman"/>
                <w:sz w:val="24"/>
                <w:lang w:val="ro-MD"/>
              </w:rPr>
              <w:t>logie</w:t>
            </w:r>
          </w:p>
        </w:tc>
      </w:tr>
      <w:tr w:rsidR="00636441" w:rsidRPr="00BB5D1C" w:rsidTr="0052216E">
        <w:tc>
          <w:tcPr>
            <w:tcW w:w="3573" w:type="dxa"/>
          </w:tcPr>
          <w:p w:rsidR="00636441" w:rsidRPr="00636441" w:rsidRDefault="00636441" w:rsidP="00636441">
            <w:pPr>
              <w:rPr>
                <w:rFonts w:ascii="Times New Roman" w:hAnsi="Times New Roman" w:cs="Times New Roman"/>
                <w:sz w:val="24"/>
                <w:lang w:val="ro-MD"/>
              </w:rPr>
            </w:pPr>
            <w:r>
              <w:rPr>
                <w:rFonts w:ascii="Times New Roman" w:hAnsi="Times New Roman" w:cs="Times New Roman"/>
                <w:sz w:val="24"/>
                <w:lang w:val="ro-MD"/>
              </w:rPr>
              <w:t>Liuba Mitrofan</w:t>
            </w:r>
          </w:p>
        </w:tc>
        <w:tc>
          <w:tcPr>
            <w:tcW w:w="5925" w:type="dxa"/>
          </w:tcPr>
          <w:p w:rsidR="00636441" w:rsidRPr="0095546B" w:rsidRDefault="00636441" w:rsidP="00636441">
            <w:pPr>
              <w:ind w:left="180" w:hanging="180"/>
              <w:rPr>
                <w:rFonts w:ascii="Times New Roman" w:hAnsi="Times New Roman" w:cs="Times New Roman"/>
                <w:sz w:val="24"/>
              </w:rPr>
            </w:pPr>
            <w:r w:rsidRPr="0095546B">
              <w:rPr>
                <w:rFonts w:ascii="Times New Roman" w:hAnsi="Times New Roman" w:cs="Times New Roman"/>
                <w:sz w:val="24"/>
              </w:rPr>
              <w:t xml:space="preserve">Medic </w:t>
            </w:r>
            <w:r>
              <w:rPr>
                <w:rFonts w:ascii="Times New Roman" w:hAnsi="Times New Roman" w:cs="Times New Roman"/>
                <w:sz w:val="24"/>
              </w:rPr>
              <w:t xml:space="preserve">specialist </w:t>
            </w:r>
            <w:r w:rsidRPr="0095546B">
              <w:rPr>
                <w:rFonts w:ascii="Times New Roman" w:hAnsi="Times New Roman" w:cs="Times New Roman"/>
                <w:sz w:val="24"/>
              </w:rPr>
              <w:t>farmacolog clinician</w:t>
            </w:r>
          </w:p>
        </w:tc>
      </w:tr>
      <w:tr w:rsidR="00636441" w:rsidRPr="00BB5D1C" w:rsidTr="0052216E">
        <w:tc>
          <w:tcPr>
            <w:tcW w:w="3573" w:type="dxa"/>
          </w:tcPr>
          <w:p w:rsidR="00636441" w:rsidRPr="0095546B" w:rsidRDefault="00636441" w:rsidP="00636441">
            <w:pPr>
              <w:rPr>
                <w:rFonts w:ascii="Times New Roman" w:hAnsi="Times New Roman" w:cs="Times New Roman"/>
                <w:sz w:val="24"/>
              </w:rPr>
            </w:pPr>
            <w:r w:rsidRPr="0095546B">
              <w:rPr>
                <w:rFonts w:ascii="Times New Roman" w:hAnsi="Times New Roman" w:cs="Times New Roman"/>
                <w:sz w:val="24"/>
              </w:rPr>
              <w:t>Irina Croitor</w:t>
            </w:r>
          </w:p>
        </w:tc>
        <w:tc>
          <w:tcPr>
            <w:tcW w:w="5925" w:type="dxa"/>
          </w:tcPr>
          <w:p w:rsidR="00636441" w:rsidRPr="0095546B" w:rsidRDefault="00636441" w:rsidP="00636441">
            <w:pPr>
              <w:ind w:left="180" w:hanging="180"/>
              <w:rPr>
                <w:rFonts w:ascii="Times New Roman" w:hAnsi="Times New Roman" w:cs="Times New Roman"/>
                <w:sz w:val="24"/>
              </w:rPr>
            </w:pPr>
            <w:r w:rsidRPr="0095546B">
              <w:rPr>
                <w:rFonts w:ascii="Times New Roman" w:hAnsi="Times New Roman" w:cs="Times New Roman"/>
                <w:sz w:val="24"/>
              </w:rPr>
              <w:t>Farmacist diriginte</w:t>
            </w:r>
          </w:p>
        </w:tc>
      </w:tr>
      <w:tr w:rsidR="00636441" w:rsidRPr="00CF68F4" w:rsidTr="0052216E">
        <w:tc>
          <w:tcPr>
            <w:tcW w:w="3573" w:type="dxa"/>
          </w:tcPr>
          <w:p w:rsidR="00636441" w:rsidRPr="0095546B" w:rsidRDefault="00636441" w:rsidP="00636441">
            <w:pPr>
              <w:rPr>
                <w:rFonts w:ascii="Times New Roman" w:hAnsi="Times New Roman" w:cs="Times New Roman"/>
                <w:sz w:val="24"/>
              </w:rPr>
            </w:pPr>
            <w:r w:rsidRPr="0095546B">
              <w:rPr>
                <w:rFonts w:ascii="Times New Roman" w:hAnsi="Times New Roman" w:cs="Times New Roman"/>
                <w:sz w:val="24"/>
              </w:rPr>
              <w:t>Carolina Lozan-Tîrșu</w:t>
            </w:r>
          </w:p>
        </w:tc>
        <w:tc>
          <w:tcPr>
            <w:tcW w:w="5925" w:type="dxa"/>
          </w:tcPr>
          <w:p w:rsidR="00636441" w:rsidRPr="0095546B" w:rsidRDefault="00636441" w:rsidP="00636441">
            <w:pPr>
              <w:ind w:left="180" w:hanging="180"/>
              <w:rPr>
                <w:rFonts w:ascii="Times New Roman" w:hAnsi="Times New Roman" w:cs="Times New Roman"/>
                <w:sz w:val="24"/>
              </w:rPr>
            </w:pPr>
            <w:r w:rsidRPr="0095546B">
              <w:rPr>
                <w:rFonts w:ascii="Times New Roman" w:hAnsi="Times New Roman" w:cs="Times New Roman"/>
                <w:sz w:val="24"/>
              </w:rPr>
              <w:t>Șef Departament investigații de laborator</w:t>
            </w:r>
          </w:p>
        </w:tc>
      </w:tr>
      <w:tr w:rsidR="00636441" w:rsidRPr="00CF68F4" w:rsidTr="0052216E">
        <w:tc>
          <w:tcPr>
            <w:tcW w:w="3573" w:type="dxa"/>
          </w:tcPr>
          <w:p w:rsidR="00636441" w:rsidRPr="00636441" w:rsidRDefault="00636441" w:rsidP="00636441">
            <w:pPr>
              <w:rPr>
                <w:rFonts w:ascii="Times New Roman" w:hAnsi="Times New Roman" w:cs="Times New Roman"/>
                <w:sz w:val="24"/>
                <w:lang w:val="ro-MD"/>
              </w:rPr>
            </w:pPr>
            <w:r>
              <w:rPr>
                <w:rFonts w:ascii="Times New Roman" w:hAnsi="Times New Roman" w:cs="Times New Roman"/>
                <w:sz w:val="24"/>
                <w:lang w:val="ro-MD"/>
              </w:rPr>
              <w:t>Ina Harghel</w:t>
            </w:r>
          </w:p>
        </w:tc>
        <w:tc>
          <w:tcPr>
            <w:tcW w:w="5925" w:type="dxa"/>
          </w:tcPr>
          <w:p w:rsidR="00636441" w:rsidRPr="0095546B" w:rsidRDefault="00636441" w:rsidP="00636441">
            <w:pPr>
              <w:ind w:left="180" w:hanging="180"/>
              <w:rPr>
                <w:rFonts w:ascii="Times New Roman" w:hAnsi="Times New Roman" w:cs="Times New Roman"/>
                <w:sz w:val="24"/>
              </w:rPr>
            </w:pPr>
            <w:r>
              <w:rPr>
                <w:rFonts w:ascii="Times New Roman" w:hAnsi="Times New Roman" w:cs="Times New Roman"/>
                <w:sz w:val="24"/>
                <w:lang w:val="ro-MD"/>
              </w:rPr>
              <w:t xml:space="preserve">Șef </w:t>
            </w:r>
            <w:r w:rsidRPr="0095546B">
              <w:rPr>
                <w:rFonts w:ascii="Times New Roman" w:hAnsi="Times New Roman" w:cs="Times New Roman"/>
                <w:sz w:val="24"/>
              </w:rPr>
              <w:t>Secția statistică medicală</w:t>
            </w:r>
          </w:p>
        </w:tc>
      </w:tr>
      <w:tr w:rsidR="00636441" w:rsidRPr="00BB5D1C" w:rsidTr="0052216E">
        <w:tc>
          <w:tcPr>
            <w:tcW w:w="3573" w:type="dxa"/>
          </w:tcPr>
          <w:p w:rsidR="00636441" w:rsidRPr="0095546B" w:rsidRDefault="00636441" w:rsidP="00636441">
            <w:pPr>
              <w:rPr>
                <w:rFonts w:ascii="Times New Roman" w:hAnsi="Times New Roman" w:cs="Times New Roman"/>
                <w:sz w:val="24"/>
                <w:lang w:val="ro-MD"/>
              </w:rPr>
            </w:pPr>
            <w:r w:rsidRPr="0095546B">
              <w:rPr>
                <w:rFonts w:ascii="Times New Roman" w:hAnsi="Times New Roman" w:cs="Times New Roman"/>
                <w:sz w:val="24"/>
              </w:rPr>
              <w:t>Mihail Ou</w:t>
            </w:r>
            <w:r w:rsidRPr="0095546B">
              <w:rPr>
                <w:rFonts w:ascii="Times New Roman" w:hAnsi="Times New Roman" w:cs="Times New Roman"/>
                <w:sz w:val="24"/>
                <w:lang w:val="ro-MD"/>
              </w:rPr>
              <w:t>ș</w:t>
            </w:r>
          </w:p>
        </w:tc>
        <w:tc>
          <w:tcPr>
            <w:tcW w:w="5925" w:type="dxa"/>
          </w:tcPr>
          <w:p w:rsidR="00636441" w:rsidRPr="0095546B" w:rsidRDefault="00636441" w:rsidP="00636441">
            <w:pPr>
              <w:ind w:left="180" w:hanging="180"/>
              <w:rPr>
                <w:rFonts w:ascii="Times New Roman" w:hAnsi="Times New Roman" w:cs="Times New Roman"/>
                <w:sz w:val="24"/>
              </w:rPr>
            </w:pPr>
            <w:r w:rsidRPr="0095546B">
              <w:rPr>
                <w:rFonts w:ascii="Times New Roman" w:hAnsi="Times New Roman" w:cs="Times New Roman"/>
                <w:sz w:val="24"/>
              </w:rPr>
              <w:t>Șef Secția de internare</w:t>
            </w:r>
          </w:p>
        </w:tc>
      </w:tr>
      <w:tr w:rsidR="00636441" w:rsidRPr="00BB5D1C" w:rsidTr="0052216E">
        <w:tc>
          <w:tcPr>
            <w:tcW w:w="3573" w:type="dxa"/>
          </w:tcPr>
          <w:p w:rsidR="00636441" w:rsidRPr="0095546B" w:rsidRDefault="00636441" w:rsidP="00636441">
            <w:pPr>
              <w:rPr>
                <w:rFonts w:ascii="Times New Roman" w:hAnsi="Times New Roman" w:cs="Times New Roman"/>
                <w:sz w:val="24"/>
              </w:rPr>
            </w:pPr>
            <w:r w:rsidRPr="0095546B">
              <w:rPr>
                <w:rFonts w:ascii="Times New Roman" w:hAnsi="Times New Roman" w:cs="Times New Roman"/>
                <w:sz w:val="24"/>
              </w:rPr>
              <w:t>Vasile Godoroja</w:t>
            </w:r>
          </w:p>
        </w:tc>
        <w:tc>
          <w:tcPr>
            <w:tcW w:w="5925" w:type="dxa"/>
          </w:tcPr>
          <w:p w:rsidR="00636441" w:rsidRPr="0095546B" w:rsidRDefault="00636441" w:rsidP="00636441">
            <w:pPr>
              <w:ind w:left="180" w:hanging="180"/>
              <w:rPr>
                <w:rFonts w:ascii="Times New Roman" w:hAnsi="Times New Roman" w:cs="Times New Roman"/>
                <w:sz w:val="24"/>
              </w:rPr>
            </w:pPr>
            <w:r w:rsidRPr="0095546B">
              <w:rPr>
                <w:rFonts w:ascii="Times New Roman" w:hAnsi="Times New Roman" w:cs="Times New Roman"/>
                <w:sz w:val="24"/>
              </w:rPr>
              <w:t>Șef Secția consultativă</w:t>
            </w:r>
          </w:p>
        </w:tc>
      </w:tr>
    </w:tbl>
    <w:p w:rsidR="00636441" w:rsidRPr="0046117A" w:rsidRDefault="00636441" w:rsidP="00636441">
      <w:pPr>
        <w:rPr>
          <w:rFonts w:ascii="Times New Roman" w:hAnsi="Times New Roman" w:cs="Times New Roman"/>
          <w:b/>
          <w:bCs/>
          <w:sz w:val="28"/>
          <w:szCs w:val="28"/>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985282" w:rsidRDefault="00985282">
      <w:pPr>
        <w:rPr>
          <w:rFonts w:ascii="Times New Roman" w:hAnsi="Times New Roman" w:cs="Times New Roman"/>
          <w:sz w:val="24"/>
          <w:szCs w:val="24"/>
          <w:lang w:val="en-US"/>
        </w:rPr>
      </w:pPr>
    </w:p>
    <w:p w:rsidR="0052216E" w:rsidRDefault="0052216E" w:rsidP="006F7FD8">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o-RO" w:eastAsia="ru-RU"/>
        </w:rPr>
      </w:pPr>
    </w:p>
    <w:p w:rsidR="006F7FD8" w:rsidRPr="006F7FD8" w:rsidRDefault="006F7FD8" w:rsidP="006F7FD8">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o-RO" w:eastAsia="ru-RU"/>
        </w:rPr>
      </w:pPr>
      <w:r w:rsidRPr="006F7FD8">
        <w:rPr>
          <w:rFonts w:ascii="Times New Roman" w:eastAsia="Times New Roman" w:hAnsi="Times New Roman" w:cs="Times New Roman"/>
          <w:b/>
          <w:sz w:val="24"/>
          <w:szCs w:val="24"/>
          <w:lang w:val="ro-RO" w:eastAsia="ru-RU"/>
        </w:rPr>
        <w:lastRenderedPageBreak/>
        <w:t>CUPRINS</w:t>
      </w:r>
    </w:p>
    <w:p w:rsidR="006F7FD8" w:rsidRPr="003D68D2" w:rsidRDefault="006F7FD8" w:rsidP="006F7FD8">
      <w:pPr>
        <w:tabs>
          <w:tab w:val="right" w:leader="dot" w:pos="9016"/>
        </w:tabs>
        <w:spacing w:before="120" w:after="120"/>
        <w:rPr>
          <w:rFonts w:ascii="Times New Roman" w:eastAsia="Times New Roman" w:hAnsi="Times New Roman" w:cs="Times New Roman"/>
          <w:bCs/>
          <w:caps/>
          <w:noProof/>
          <w:color w:val="000000" w:themeColor="text1"/>
          <w:kern w:val="2"/>
          <w:sz w:val="20"/>
          <w:szCs w:val="20"/>
          <w:lang w:val="ro-RO" w:eastAsia="ro-RO"/>
        </w:rPr>
      </w:pPr>
      <w:r w:rsidRPr="003D68D2">
        <w:rPr>
          <w:rFonts w:ascii="Times New Roman" w:eastAsia="Times New Roman" w:hAnsi="Times New Roman" w:cs="Times New Roman"/>
          <w:bCs/>
          <w:caps/>
          <w:color w:val="000000" w:themeColor="text1"/>
          <w:sz w:val="20"/>
          <w:szCs w:val="20"/>
          <w:lang w:val="ro-RO" w:eastAsia="ru-RU"/>
        </w:rPr>
        <w:fldChar w:fldCharType="begin"/>
      </w:r>
      <w:r w:rsidRPr="003D68D2">
        <w:rPr>
          <w:rFonts w:ascii="Times New Roman" w:eastAsia="Times New Roman" w:hAnsi="Times New Roman" w:cs="Times New Roman"/>
          <w:bCs/>
          <w:caps/>
          <w:color w:val="000000" w:themeColor="text1"/>
          <w:sz w:val="20"/>
          <w:szCs w:val="20"/>
          <w:lang w:val="ro-RO" w:eastAsia="ru-RU"/>
        </w:rPr>
        <w:instrText xml:space="preserve"> TOC \o "1-3" \h \z \u </w:instrText>
      </w:r>
      <w:r w:rsidRPr="003D68D2">
        <w:rPr>
          <w:rFonts w:ascii="Times New Roman" w:eastAsia="Times New Roman" w:hAnsi="Times New Roman" w:cs="Times New Roman"/>
          <w:bCs/>
          <w:caps/>
          <w:color w:val="000000" w:themeColor="text1"/>
          <w:sz w:val="20"/>
          <w:szCs w:val="20"/>
          <w:lang w:val="ro-RO" w:eastAsia="ru-RU"/>
        </w:rPr>
        <w:fldChar w:fldCharType="separate"/>
      </w:r>
      <w:hyperlink w:anchor="_Toc177994771" w:history="1">
        <w:r w:rsidRPr="003D68D2">
          <w:rPr>
            <w:rFonts w:ascii="Times New Roman" w:eastAsia="Times New Roman" w:hAnsi="Times New Roman" w:cs="Times New Roman"/>
            <w:bCs/>
            <w:noProof/>
            <w:color w:val="000000" w:themeColor="text1"/>
            <w:sz w:val="20"/>
            <w:szCs w:val="20"/>
            <w:u w:val="single"/>
            <w:lang w:val="ro-RO" w:eastAsia="ru-RU"/>
          </w:rPr>
          <w:t>SUMARUL RECOMANDĂRILOR</w:t>
        </w:r>
        <w:r w:rsidRPr="003D68D2">
          <w:rPr>
            <w:rFonts w:ascii="Times New Roman" w:eastAsia="Times New Roman" w:hAnsi="Times New Roman" w:cs="Times New Roman"/>
            <w:bCs/>
            <w:noProof/>
            <w:webHidden/>
            <w:color w:val="000000" w:themeColor="text1"/>
            <w:sz w:val="20"/>
            <w:szCs w:val="20"/>
            <w:lang w:val="ro-RO" w:eastAsia="ru-RU"/>
          </w:rPr>
          <w:tab/>
        </w:r>
        <w:r w:rsidRPr="003D68D2">
          <w:rPr>
            <w:rFonts w:ascii="Times New Roman" w:eastAsia="Times New Roman" w:hAnsi="Times New Roman" w:cs="Times New Roman"/>
            <w:bCs/>
            <w:caps/>
            <w:noProof/>
            <w:webHidden/>
            <w:color w:val="000000" w:themeColor="text1"/>
            <w:sz w:val="20"/>
            <w:szCs w:val="20"/>
            <w:lang w:val="ro-RO" w:eastAsia="ru-RU"/>
          </w:rPr>
          <w:fldChar w:fldCharType="begin"/>
        </w:r>
        <w:r w:rsidRPr="003D68D2">
          <w:rPr>
            <w:rFonts w:ascii="Times New Roman" w:eastAsia="Times New Roman" w:hAnsi="Times New Roman" w:cs="Times New Roman"/>
            <w:bCs/>
            <w:caps/>
            <w:noProof/>
            <w:webHidden/>
            <w:color w:val="000000" w:themeColor="text1"/>
            <w:sz w:val="20"/>
            <w:szCs w:val="20"/>
            <w:lang w:val="ro-RO" w:eastAsia="ru-RU"/>
          </w:rPr>
          <w:instrText xml:space="preserve"> PAGEREF _Toc177994771 \h </w:instrText>
        </w:r>
        <w:r w:rsidRPr="003D68D2">
          <w:rPr>
            <w:rFonts w:ascii="Times New Roman" w:eastAsia="Times New Roman" w:hAnsi="Times New Roman" w:cs="Times New Roman"/>
            <w:bCs/>
            <w:caps/>
            <w:noProof/>
            <w:webHidden/>
            <w:color w:val="000000" w:themeColor="text1"/>
            <w:sz w:val="20"/>
            <w:szCs w:val="20"/>
            <w:lang w:val="ro-RO" w:eastAsia="ru-RU"/>
          </w:rPr>
        </w:r>
        <w:r w:rsidRPr="003D68D2">
          <w:rPr>
            <w:rFonts w:ascii="Times New Roman" w:eastAsia="Times New Roman" w:hAnsi="Times New Roman" w:cs="Times New Roman"/>
            <w:bCs/>
            <w:caps/>
            <w:noProof/>
            <w:webHidden/>
            <w:color w:val="000000" w:themeColor="text1"/>
            <w:sz w:val="20"/>
            <w:szCs w:val="20"/>
            <w:lang w:val="ro-RO" w:eastAsia="ru-RU"/>
          </w:rPr>
          <w:fldChar w:fldCharType="separate"/>
        </w:r>
        <w:r w:rsidR="00834610">
          <w:rPr>
            <w:rFonts w:ascii="Times New Roman" w:eastAsia="Times New Roman" w:hAnsi="Times New Roman" w:cs="Times New Roman"/>
            <w:bCs/>
            <w:caps/>
            <w:noProof/>
            <w:webHidden/>
            <w:color w:val="000000" w:themeColor="text1"/>
            <w:sz w:val="20"/>
            <w:szCs w:val="20"/>
            <w:lang w:val="ro-RO" w:eastAsia="ru-RU"/>
          </w:rPr>
          <w:t>7</w:t>
        </w:r>
        <w:r w:rsidRPr="003D68D2">
          <w:rPr>
            <w:rFonts w:ascii="Times New Roman" w:eastAsia="Times New Roman" w:hAnsi="Times New Roman" w:cs="Times New Roman"/>
            <w:bCs/>
            <w:caps/>
            <w:noProof/>
            <w:webHidden/>
            <w:color w:val="000000" w:themeColor="text1"/>
            <w:sz w:val="20"/>
            <w:szCs w:val="20"/>
            <w:lang w:val="ro-RO" w:eastAsia="ru-RU"/>
          </w:rPr>
          <w:fldChar w:fldCharType="end"/>
        </w:r>
      </w:hyperlink>
    </w:p>
    <w:p w:rsidR="006F7FD8" w:rsidRPr="003D68D2" w:rsidRDefault="00875399" w:rsidP="006F7FD8">
      <w:pPr>
        <w:tabs>
          <w:tab w:val="right" w:leader="dot" w:pos="9016"/>
        </w:tabs>
        <w:spacing w:before="120" w:after="120"/>
        <w:rPr>
          <w:rFonts w:ascii="Times New Roman" w:eastAsia="Times New Roman" w:hAnsi="Times New Roman" w:cs="Times New Roman"/>
          <w:bCs/>
          <w:caps/>
          <w:noProof/>
          <w:color w:val="000000" w:themeColor="text1"/>
          <w:kern w:val="2"/>
          <w:sz w:val="20"/>
          <w:szCs w:val="20"/>
          <w:lang w:val="ro-RO" w:eastAsia="ro-RO"/>
        </w:rPr>
      </w:pPr>
      <w:hyperlink w:anchor="_Toc177994773" w:history="1">
        <w:r w:rsidR="006F7FD8" w:rsidRPr="003D68D2">
          <w:rPr>
            <w:rFonts w:ascii="Times New Roman" w:eastAsia="Times New Roman" w:hAnsi="Times New Roman" w:cs="Times New Roman"/>
            <w:bCs/>
            <w:noProof/>
            <w:color w:val="000000" w:themeColor="text1"/>
            <w:sz w:val="20"/>
            <w:szCs w:val="20"/>
            <w:u w:val="single"/>
            <w:lang w:val="ro-RO" w:eastAsia="ru-RU"/>
          </w:rPr>
          <w:t>A. PARTEA INTRODUCTIVĂ</w:t>
        </w:r>
        <w:r w:rsidR="006F7FD8" w:rsidRPr="003D68D2">
          <w:rPr>
            <w:rFonts w:ascii="Times New Roman" w:eastAsia="Times New Roman" w:hAnsi="Times New Roman" w:cs="Times New Roman"/>
            <w:bCs/>
            <w:noProof/>
            <w:webHidden/>
            <w:color w:val="000000" w:themeColor="text1"/>
            <w:sz w:val="20"/>
            <w:szCs w:val="20"/>
            <w:lang w:val="ro-RO" w:eastAsia="ru-RU"/>
          </w:rPr>
          <w:tab/>
        </w:r>
        <w:r w:rsidR="006F7FD8" w:rsidRPr="003D68D2">
          <w:rPr>
            <w:rFonts w:ascii="Times New Roman" w:eastAsia="Times New Roman" w:hAnsi="Times New Roman" w:cs="Times New Roman"/>
            <w:bCs/>
            <w:caps/>
            <w:noProof/>
            <w:webHidden/>
            <w:color w:val="000000" w:themeColor="text1"/>
            <w:sz w:val="20"/>
            <w:szCs w:val="20"/>
            <w:lang w:val="ro-RO" w:eastAsia="ru-RU"/>
          </w:rPr>
          <w:fldChar w:fldCharType="begin"/>
        </w:r>
        <w:r w:rsidR="006F7FD8" w:rsidRPr="003D68D2">
          <w:rPr>
            <w:rFonts w:ascii="Times New Roman" w:eastAsia="Times New Roman" w:hAnsi="Times New Roman" w:cs="Times New Roman"/>
            <w:bCs/>
            <w:caps/>
            <w:noProof/>
            <w:webHidden/>
            <w:color w:val="000000" w:themeColor="text1"/>
            <w:sz w:val="20"/>
            <w:szCs w:val="20"/>
            <w:lang w:val="ro-RO" w:eastAsia="ru-RU"/>
          </w:rPr>
          <w:instrText xml:space="preserve"> PAGEREF _Toc177994773 \h </w:instrText>
        </w:r>
        <w:r w:rsidR="006F7FD8" w:rsidRPr="003D68D2">
          <w:rPr>
            <w:rFonts w:ascii="Times New Roman" w:eastAsia="Times New Roman" w:hAnsi="Times New Roman" w:cs="Times New Roman"/>
            <w:bCs/>
            <w:caps/>
            <w:noProof/>
            <w:webHidden/>
            <w:color w:val="000000" w:themeColor="text1"/>
            <w:sz w:val="20"/>
            <w:szCs w:val="20"/>
            <w:lang w:val="ro-RO" w:eastAsia="ru-RU"/>
          </w:rPr>
        </w:r>
        <w:r w:rsidR="006F7FD8" w:rsidRPr="003D68D2">
          <w:rPr>
            <w:rFonts w:ascii="Times New Roman" w:eastAsia="Times New Roman" w:hAnsi="Times New Roman" w:cs="Times New Roman"/>
            <w:bCs/>
            <w:caps/>
            <w:noProof/>
            <w:webHidden/>
            <w:color w:val="000000" w:themeColor="text1"/>
            <w:sz w:val="20"/>
            <w:szCs w:val="20"/>
            <w:lang w:val="ro-RO" w:eastAsia="ru-RU"/>
          </w:rPr>
          <w:fldChar w:fldCharType="separate"/>
        </w:r>
        <w:r w:rsidR="00834610">
          <w:rPr>
            <w:rFonts w:ascii="Times New Roman" w:eastAsia="Times New Roman" w:hAnsi="Times New Roman" w:cs="Times New Roman"/>
            <w:bCs/>
            <w:caps/>
            <w:noProof/>
            <w:webHidden/>
            <w:color w:val="000000" w:themeColor="text1"/>
            <w:sz w:val="20"/>
            <w:szCs w:val="20"/>
            <w:lang w:val="ro-RO" w:eastAsia="ru-RU"/>
          </w:rPr>
          <w:t>10</w:t>
        </w:r>
        <w:r w:rsidR="006F7FD8" w:rsidRPr="003D68D2">
          <w:rPr>
            <w:rFonts w:ascii="Times New Roman" w:eastAsia="Times New Roman" w:hAnsi="Times New Roman" w:cs="Times New Roman"/>
            <w:bCs/>
            <w:caps/>
            <w:noProof/>
            <w:webHidden/>
            <w:color w:val="000000" w:themeColor="text1"/>
            <w:sz w:val="20"/>
            <w:szCs w:val="20"/>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74" w:history="1">
        <w:r w:rsidR="006F7FD8" w:rsidRPr="003D68D2">
          <w:rPr>
            <w:rFonts w:ascii="Times New Roman" w:eastAsia="Times New Roman" w:hAnsi="Times New Roman" w:cs="Calibri"/>
            <w:smallCaps/>
            <w:noProof/>
            <w:color w:val="000000" w:themeColor="text1"/>
            <w:sz w:val="20"/>
            <w:szCs w:val="16"/>
            <w:u w:val="single"/>
            <w:lang w:val="ro-RO" w:eastAsia="ru-RU"/>
          </w:rPr>
          <w:t>A.1. DIAGNOSTICUL. EXEMPLE DE FORMULARE A DIAGNOSTICULUI CLINIC</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_Toc177994774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10</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75" w:history="1">
        <w:r w:rsidR="006F7FD8" w:rsidRPr="003D68D2">
          <w:rPr>
            <w:rFonts w:ascii="Times New Roman" w:eastAsia="Times New Roman" w:hAnsi="Times New Roman" w:cs="Calibri"/>
            <w:smallCaps/>
            <w:noProof/>
            <w:color w:val="000000" w:themeColor="text1"/>
            <w:sz w:val="20"/>
            <w:szCs w:val="16"/>
            <w:u w:val="single"/>
            <w:lang w:val="ro-RO" w:eastAsia="ru-RU"/>
          </w:rPr>
          <w:t>A.2. CODUL BOLII (CIM 10)</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_Toc177994775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10</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76" w:history="1">
        <w:r w:rsidR="006F7FD8" w:rsidRPr="003D68D2">
          <w:rPr>
            <w:rFonts w:ascii="Times New Roman" w:eastAsia="Times New Roman" w:hAnsi="Times New Roman" w:cs="Calibri"/>
            <w:smallCaps/>
            <w:noProof/>
            <w:color w:val="000000" w:themeColor="text1"/>
            <w:sz w:val="20"/>
            <w:szCs w:val="16"/>
            <w:u w:val="single"/>
            <w:lang w:val="ro-RO" w:eastAsia="ru-RU"/>
          </w:rPr>
          <w:t>A.3. UTILIZATORII</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_Toc177994776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10</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77" w:history="1">
        <w:r w:rsidR="006F7FD8" w:rsidRPr="003D68D2">
          <w:rPr>
            <w:rFonts w:ascii="Times New Roman" w:eastAsia="Times New Roman" w:hAnsi="Times New Roman" w:cs="Calibri"/>
            <w:smallCaps/>
            <w:noProof/>
            <w:color w:val="000000" w:themeColor="text1"/>
            <w:spacing w:val="-1"/>
            <w:sz w:val="20"/>
            <w:szCs w:val="16"/>
            <w:u w:val="single"/>
            <w:lang w:val="ro-RO" w:eastAsia="ru-RU"/>
          </w:rPr>
          <w:t>A.4.</w:t>
        </w:r>
        <w:r w:rsidR="006F7FD8" w:rsidRPr="003D68D2">
          <w:rPr>
            <w:rFonts w:ascii="Times New Roman" w:eastAsia="Times New Roman" w:hAnsi="Times New Roman" w:cs="Calibri"/>
            <w:smallCaps/>
            <w:noProof/>
            <w:color w:val="000000" w:themeColor="text1"/>
            <w:sz w:val="20"/>
            <w:szCs w:val="16"/>
            <w:u w:val="single"/>
            <w:lang w:val="ro-RO" w:eastAsia="ru-RU"/>
          </w:rPr>
          <w:t xml:space="preserve"> OBIECTIVELE </w:t>
        </w:r>
        <w:r w:rsidR="006F7FD8" w:rsidRPr="003D68D2">
          <w:rPr>
            <w:rFonts w:ascii="Times New Roman" w:eastAsia="Times New Roman" w:hAnsi="Times New Roman" w:cs="Calibri"/>
            <w:smallCaps/>
            <w:noProof/>
            <w:color w:val="000000" w:themeColor="text1"/>
            <w:spacing w:val="-2"/>
            <w:sz w:val="20"/>
            <w:szCs w:val="16"/>
            <w:u w:val="single"/>
            <w:lang w:val="ro-RO" w:eastAsia="ru-RU"/>
          </w:rPr>
          <w:t>PROTOCOLULUI</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_Toc177994777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r w:rsidR="009858C6">
        <w:rPr>
          <w:rFonts w:ascii="Times New Roman" w:eastAsia="Times New Roman" w:hAnsi="Times New Roman" w:cs="Calibri"/>
          <w:smallCaps/>
          <w:noProof/>
          <w:color w:val="000000" w:themeColor="text1"/>
          <w:sz w:val="20"/>
          <w:szCs w:val="16"/>
          <w:lang w:val="ro-RO" w:eastAsia="ru-RU"/>
        </w:rPr>
        <w:t>1</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78" w:history="1">
        <w:r w:rsidR="006F7FD8" w:rsidRPr="003D68D2">
          <w:rPr>
            <w:rFonts w:ascii="Times New Roman" w:eastAsia="Times New Roman" w:hAnsi="Times New Roman" w:cs="Times New Roman"/>
            <w:smallCaps/>
            <w:noProof/>
            <w:color w:val="000000" w:themeColor="text1"/>
            <w:sz w:val="20"/>
            <w:szCs w:val="16"/>
            <w:u w:val="single"/>
            <w:lang w:val="ro-RO" w:eastAsia="ru-RU"/>
          </w:rPr>
          <w:t>A.5.</w:t>
        </w:r>
        <w:r w:rsidR="006F7FD8" w:rsidRPr="003D68D2">
          <w:rPr>
            <w:rFonts w:ascii="Times New Roman" w:eastAsia="Times New Roman" w:hAnsi="Times New Roman" w:cs="Times New Roman"/>
            <w:smallCaps/>
            <w:noProof/>
            <w:color w:val="000000" w:themeColor="text1"/>
            <w:spacing w:val="-1"/>
            <w:sz w:val="20"/>
            <w:szCs w:val="16"/>
            <w:u w:val="single"/>
            <w:lang w:val="ro-RO" w:eastAsia="ru-RU"/>
          </w:rPr>
          <w:t xml:space="preserve"> </w:t>
        </w:r>
        <w:r w:rsidR="006F7FD8" w:rsidRPr="003D68D2">
          <w:rPr>
            <w:rFonts w:ascii="Times New Roman" w:eastAsia="Times New Roman" w:hAnsi="Times New Roman" w:cs="Times New Roman"/>
            <w:smallCaps/>
            <w:noProof/>
            <w:color w:val="000000" w:themeColor="text1"/>
            <w:sz w:val="20"/>
            <w:szCs w:val="16"/>
            <w:u w:val="single"/>
            <w:lang w:val="ro-RO" w:eastAsia="ru-RU"/>
          </w:rPr>
          <w:t>ELABORAT: 2008</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_Toc177994778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11</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79" w:history="1">
        <w:r w:rsidR="006F7FD8" w:rsidRPr="003D68D2">
          <w:rPr>
            <w:rFonts w:ascii="Times New Roman" w:eastAsia="Times New Roman" w:hAnsi="Times New Roman" w:cs="Times New Roman"/>
            <w:smallCaps/>
            <w:noProof/>
            <w:color w:val="000000" w:themeColor="text1"/>
            <w:sz w:val="20"/>
            <w:szCs w:val="16"/>
            <w:u w:val="single"/>
            <w:lang w:val="ro-RO" w:eastAsia="ru-RU"/>
          </w:rPr>
          <w:t>A.6. ACTUALIZAT: 2024</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_Toc177994779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11</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80" w:history="1">
        <w:r w:rsidR="006F7FD8" w:rsidRPr="003D68D2">
          <w:rPr>
            <w:rFonts w:ascii="Times New Roman" w:eastAsia="Times New Roman" w:hAnsi="Times New Roman" w:cs="Calibri"/>
            <w:smallCaps/>
            <w:noProof/>
            <w:color w:val="000000" w:themeColor="text1"/>
            <w:sz w:val="20"/>
            <w:szCs w:val="16"/>
            <w:u w:val="single"/>
            <w:lang w:val="ro-RO" w:eastAsia="ru-RU"/>
          </w:rPr>
          <w:t>A.7. REVIZUIRE: 2029</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_Toc177994780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11</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81" w:history="1">
        <w:r w:rsidR="006F7FD8" w:rsidRPr="003D68D2">
          <w:rPr>
            <w:rFonts w:ascii="Times New Roman" w:eastAsia="Times New Roman" w:hAnsi="Times New Roman" w:cs="Calibri"/>
            <w:smallCaps/>
            <w:noProof/>
            <w:color w:val="000000" w:themeColor="text1"/>
            <w:sz w:val="20"/>
            <w:szCs w:val="16"/>
            <w:u w:val="single"/>
            <w:lang w:val="ro-RO" w:eastAsia="ru-RU"/>
          </w:rPr>
          <w:t>A.9.</w:t>
        </w:r>
        <w:r w:rsidR="006F7FD8" w:rsidRPr="003D68D2">
          <w:rPr>
            <w:rFonts w:ascii="Times New Roman" w:eastAsia="Times New Roman" w:hAnsi="Times New Roman" w:cs="Calibri"/>
            <w:smallCaps/>
            <w:noProof/>
            <w:color w:val="000000" w:themeColor="text1"/>
            <w:spacing w:val="-1"/>
            <w:sz w:val="20"/>
            <w:szCs w:val="16"/>
            <w:u w:val="single"/>
            <w:lang w:val="ro-RO" w:eastAsia="ru-RU"/>
          </w:rPr>
          <w:t xml:space="preserve"> DEFINIŢIILE </w:t>
        </w:r>
        <w:r w:rsidR="006F7FD8" w:rsidRPr="003D68D2">
          <w:rPr>
            <w:rFonts w:ascii="Times New Roman" w:eastAsia="Times New Roman" w:hAnsi="Times New Roman" w:cs="Calibri"/>
            <w:smallCaps/>
            <w:noProof/>
            <w:color w:val="000000" w:themeColor="text1"/>
            <w:sz w:val="20"/>
            <w:szCs w:val="16"/>
            <w:u w:val="single"/>
            <w:lang w:val="ro-RO" w:eastAsia="ru-RU"/>
          </w:rPr>
          <w:t>FOLOSITE</w:t>
        </w:r>
        <w:r w:rsidR="006F7FD8" w:rsidRPr="003D68D2">
          <w:rPr>
            <w:rFonts w:ascii="Times New Roman" w:eastAsia="Times New Roman" w:hAnsi="Times New Roman" w:cs="Calibri"/>
            <w:smallCaps/>
            <w:noProof/>
            <w:color w:val="000000" w:themeColor="text1"/>
            <w:spacing w:val="-1"/>
            <w:sz w:val="20"/>
            <w:szCs w:val="16"/>
            <w:u w:val="single"/>
            <w:lang w:val="ro-RO" w:eastAsia="ru-RU"/>
          </w:rPr>
          <w:t xml:space="preserve"> </w:t>
        </w:r>
        <w:r w:rsidR="006F7FD8" w:rsidRPr="003D68D2">
          <w:rPr>
            <w:rFonts w:ascii="Times New Roman" w:eastAsia="Times New Roman" w:hAnsi="Times New Roman" w:cs="Calibri"/>
            <w:smallCaps/>
            <w:noProof/>
            <w:color w:val="000000" w:themeColor="text1"/>
            <w:sz w:val="20"/>
            <w:szCs w:val="16"/>
            <w:u w:val="single"/>
            <w:lang w:val="ro-RO" w:eastAsia="ru-RU"/>
          </w:rPr>
          <w:t>ÎN</w:t>
        </w:r>
        <w:r w:rsidR="006F7FD8" w:rsidRPr="003D68D2">
          <w:rPr>
            <w:rFonts w:ascii="Times New Roman" w:eastAsia="Times New Roman" w:hAnsi="Times New Roman" w:cs="Calibri"/>
            <w:smallCaps/>
            <w:noProof/>
            <w:color w:val="000000" w:themeColor="text1"/>
            <w:spacing w:val="4"/>
            <w:sz w:val="20"/>
            <w:szCs w:val="16"/>
            <w:u w:val="single"/>
            <w:lang w:val="ro-RO" w:eastAsia="ru-RU"/>
          </w:rPr>
          <w:t xml:space="preserve"> </w:t>
        </w:r>
        <w:r w:rsidR="006F7FD8" w:rsidRPr="003D68D2">
          <w:rPr>
            <w:rFonts w:ascii="Times New Roman" w:eastAsia="Times New Roman" w:hAnsi="Times New Roman" w:cs="Calibri"/>
            <w:smallCaps/>
            <w:noProof/>
            <w:color w:val="000000" w:themeColor="text1"/>
            <w:sz w:val="20"/>
            <w:szCs w:val="16"/>
            <w:u w:val="single"/>
            <w:lang w:val="ro-RO" w:eastAsia="ru-RU"/>
          </w:rPr>
          <w:t>DOCUMENT</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_Toc177994781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12</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82" w:history="1">
        <w:r w:rsidR="006F7FD8" w:rsidRPr="003D68D2">
          <w:rPr>
            <w:rFonts w:ascii="Times New Roman" w:eastAsia="Times New Roman" w:hAnsi="Times New Roman" w:cs="Calibri"/>
            <w:smallCaps/>
            <w:noProof/>
            <w:color w:val="000000" w:themeColor="text1"/>
            <w:sz w:val="20"/>
            <w:szCs w:val="16"/>
            <w:u w:val="single"/>
            <w:lang w:val="ro-RO" w:eastAsia="ru-RU"/>
          </w:rPr>
          <w:t>A.10.</w:t>
        </w:r>
        <w:r w:rsidR="006F7FD8" w:rsidRPr="003D68D2">
          <w:rPr>
            <w:rFonts w:ascii="Times New Roman" w:eastAsia="Times New Roman" w:hAnsi="Times New Roman" w:cs="Calibri"/>
            <w:smallCaps/>
            <w:noProof/>
            <w:color w:val="000000" w:themeColor="text1"/>
            <w:spacing w:val="42"/>
            <w:sz w:val="20"/>
            <w:szCs w:val="16"/>
            <w:u w:val="single"/>
            <w:lang w:val="ro-RO" w:eastAsia="ru-RU"/>
          </w:rPr>
          <w:t xml:space="preserve"> </w:t>
        </w:r>
        <w:r w:rsidR="006F7FD8" w:rsidRPr="003D68D2">
          <w:rPr>
            <w:rFonts w:ascii="Times New Roman" w:eastAsia="Times New Roman" w:hAnsi="Times New Roman" w:cs="Calibri"/>
            <w:smallCaps/>
            <w:noProof/>
            <w:color w:val="000000" w:themeColor="text1"/>
            <w:sz w:val="20"/>
            <w:szCs w:val="16"/>
            <w:u w:val="single"/>
            <w:lang w:val="ro-RO" w:eastAsia="ru-RU"/>
          </w:rPr>
          <w:t>EPIDEMIOLOGIA ȘI TRANSMITEREA INFECȚIEI CU VIRUSUL HEPATITEI C</w:t>
        </w:r>
        <w:r w:rsidR="006F7FD8" w:rsidRPr="003D68D2">
          <w:rPr>
            <w:rFonts w:ascii="Times New Roman" w:eastAsia="Times New Roman" w:hAnsi="Times New Roman" w:cs="Calibri"/>
            <w:smallCaps/>
            <w:noProof/>
            <w:webHidden/>
            <w:color w:val="000000" w:themeColor="text1"/>
            <w:sz w:val="20"/>
            <w:szCs w:val="16"/>
            <w:lang w:val="ro-RO" w:eastAsia="ru-RU"/>
          </w:rPr>
          <w:tab/>
        </w:r>
        <w:r w:rsidR="006F7FD8" w:rsidRPr="003D68D2">
          <w:rPr>
            <w:rFonts w:ascii="Times New Roman" w:eastAsia="Times New Roman" w:hAnsi="Times New Roman" w:cs="Calibri"/>
            <w:smallCaps/>
            <w:noProof/>
            <w:webHidden/>
            <w:color w:val="000000" w:themeColor="text1"/>
            <w:sz w:val="20"/>
            <w:szCs w:val="16"/>
            <w:lang w:val="ro-RO" w:eastAsia="ru-RU"/>
          </w:rPr>
          <w:fldChar w:fldCharType="begin"/>
        </w:r>
        <w:r w:rsidR="006F7FD8" w:rsidRPr="003D68D2">
          <w:rPr>
            <w:rFonts w:ascii="Times New Roman" w:eastAsia="Times New Roman" w:hAnsi="Times New Roman" w:cs="Calibri"/>
            <w:smallCaps/>
            <w:noProof/>
            <w:webHidden/>
            <w:color w:val="000000" w:themeColor="text1"/>
            <w:sz w:val="20"/>
            <w:szCs w:val="16"/>
            <w:lang w:val="ro-RO" w:eastAsia="ru-RU"/>
          </w:rPr>
          <w:instrText xml:space="preserve"> PAGEREF _Toc177994782 \h </w:instrText>
        </w:r>
        <w:r w:rsidR="006F7FD8" w:rsidRPr="003D68D2">
          <w:rPr>
            <w:rFonts w:ascii="Times New Roman" w:eastAsia="Times New Roman" w:hAnsi="Times New Roman" w:cs="Calibri"/>
            <w:smallCaps/>
            <w:noProof/>
            <w:webHidden/>
            <w:color w:val="000000" w:themeColor="text1"/>
            <w:sz w:val="20"/>
            <w:szCs w:val="16"/>
            <w:lang w:val="ro-RO" w:eastAsia="ru-RU"/>
          </w:rPr>
        </w:r>
        <w:r w:rsidR="006F7FD8" w:rsidRPr="003D68D2">
          <w:rPr>
            <w:rFonts w:ascii="Times New Roman" w:eastAsia="Times New Roman" w:hAnsi="Times New Roman" w:cs="Calibri"/>
            <w:smallCaps/>
            <w:noProof/>
            <w:webHidden/>
            <w:color w:val="000000" w:themeColor="text1"/>
            <w:sz w:val="20"/>
            <w:szCs w:val="16"/>
            <w:lang w:val="ro-RO" w:eastAsia="ru-RU"/>
          </w:rPr>
          <w:fldChar w:fldCharType="separate"/>
        </w:r>
        <w:r w:rsidR="00834610">
          <w:rPr>
            <w:rFonts w:ascii="Times New Roman" w:eastAsia="Times New Roman" w:hAnsi="Times New Roman" w:cs="Calibri"/>
            <w:smallCaps/>
            <w:noProof/>
            <w:webHidden/>
            <w:color w:val="000000" w:themeColor="text1"/>
            <w:sz w:val="20"/>
            <w:szCs w:val="16"/>
            <w:lang w:val="ro-RO" w:eastAsia="ru-RU"/>
          </w:rPr>
          <w:t>12</w:t>
        </w:r>
        <w:r w:rsidR="006F7FD8" w:rsidRPr="003D68D2">
          <w:rPr>
            <w:rFonts w:ascii="Times New Roman" w:eastAsia="Times New Roman" w:hAnsi="Times New Roman" w:cs="Calibri"/>
            <w:smallCaps/>
            <w:noProof/>
            <w:webHidden/>
            <w:color w:val="000000" w:themeColor="text1"/>
            <w:sz w:val="20"/>
            <w:szCs w:val="16"/>
            <w:lang w:val="ro-RO" w:eastAsia="ru-RU"/>
          </w:rPr>
          <w:fldChar w:fldCharType="end"/>
        </w:r>
      </w:hyperlink>
    </w:p>
    <w:p w:rsidR="006F7FD8" w:rsidRPr="003D68D2" w:rsidRDefault="00875399" w:rsidP="006F7FD8">
      <w:pPr>
        <w:tabs>
          <w:tab w:val="right" w:leader="dot" w:pos="9016"/>
        </w:tabs>
        <w:spacing w:before="120" w:after="120"/>
        <w:rPr>
          <w:rFonts w:ascii="Times New Roman" w:eastAsia="Times New Roman" w:hAnsi="Times New Roman" w:cs="Times New Roman"/>
          <w:bCs/>
          <w:caps/>
          <w:noProof/>
          <w:color w:val="000000" w:themeColor="text1"/>
          <w:kern w:val="2"/>
          <w:sz w:val="20"/>
          <w:szCs w:val="20"/>
          <w:lang w:val="ro-RO" w:eastAsia="ro-RO"/>
        </w:rPr>
      </w:pPr>
      <w:hyperlink w:anchor="_Toc177994783" w:history="1">
        <w:r w:rsidR="006F7FD8" w:rsidRPr="003D68D2">
          <w:rPr>
            <w:rFonts w:ascii="Times New Roman" w:eastAsia="Times New Roman" w:hAnsi="Times New Roman" w:cs="Times New Roman"/>
            <w:bCs/>
            <w:noProof/>
            <w:color w:val="000000" w:themeColor="text1"/>
            <w:sz w:val="20"/>
            <w:szCs w:val="20"/>
            <w:u w:val="single"/>
            <w:lang w:val="ro-RO" w:eastAsia="ru-RU"/>
          </w:rPr>
          <w:t>B. PARTEA GENERALĂ</w:t>
        </w:r>
        <w:r w:rsidR="006F7FD8" w:rsidRPr="003D68D2">
          <w:rPr>
            <w:rFonts w:ascii="Times New Roman" w:eastAsia="Times New Roman" w:hAnsi="Times New Roman" w:cs="Times New Roman"/>
            <w:bCs/>
            <w:noProof/>
            <w:webHidden/>
            <w:color w:val="000000" w:themeColor="text1"/>
            <w:sz w:val="20"/>
            <w:szCs w:val="20"/>
            <w:lang w:val="ro-RO" w:eastAsia="ru-RU"/>
          </w:rPr>
          <w:tab/>
        </w:r>
        <w:r w:rsidR="006F7FD8" w:rsidRPr="003D68D2">
          <w:rPr>
            <w:rFonts w:ascii="Times New Roman" w:eastAsia="Times New Roman" w:hAnsi="Times New Roman" w:cs="Times New Roman"/>
            <w:bCs/>
            <w:caps/>
            <w:noProof/>
            <w:webHidden/>
            <w:color w:val="000000" w:themeColor="text1"/>
            <w:sz w:val="20"/>
            <w:szCs w:val="20"/>
            <w:lang w:val="ro-RO" w:eastAsia="ru-RU"/>
          </w:rPr>
          <w:fldChar w:fldCharType="begin"/>
        </w:r>
        <w:r w:rsidR="006F7FD8" w:rsidRPr="003D68D2">
          <w:rPr>
            <w:rFonts w:ascii="Times New Roman" w:eastAsia="Times New Roman" w:hAnsi="Times New Roman" w:cs="Times New Roman"/>
            <w:bCs/>
            <w:caps/>
            <w:noProof/>
            <w:webHidden/>
            <w:color w:val="000000" w:themeColor="text1"/>
            <w:sz w:val="20"/>
            <w:szCs w:val="20"/>
            <w:lang w:val="ro-RO" w:eastAsia="ru-RU"/>
          </w:rPr>
          <w:instrText xml:space="preserve"> PAGEREF _Toc177994783 \h </w:instrText>
        </w:r>
        <w:r w:rsidR="006F7FD8" w:rsidRPr="003D68D2">
          <w:rPr>
            <w:rFonts w:ascii="Times New Roman" w:eastAsia="Times New Roman" w:hAnsi="Times New Roman" w:cs="Times New Roman"/>
            <w:bCs/>
            <w:caps/>
            <w:noProof/>
            <w:webHidden/>
            <w:color w:val="000000" w:themeColor="text1"/>
            <w:sz w:val="20"/>
            <w:szCs w:val="20"/>
            <w:lang w:val="ro-RO" w:eastAsia="ru-RU"/>
          </w:rPr>
        </w:r>
        <w:r w:rsidR="006F7FD8" w:rsidRPr="003D68D2">
          <w:rPr>
            <w:rFonts w:ascii="Times New Roman" w:eastAsia="Times New Roman" w:hAnsi="Times New Roman" w:cs="Times New Roman"/>
            <w:bCs/>
            <w:caps/>
            <w:noProof/>
            <w:webHidden/>
            <w:color w:val="000000" w:themeColor="text1"/>
            <w:sz w:val="20"/>
            <w:szCs w:val="20"/>
            <w:lang w:val="ro-RO" w:eastAsia="ru-RU"/>
          </w:rPr>
          <w:fldChar w:fldCharType="separate"/>
        </w:r>
        <w:r w:rsidR="00834610">
          <w:rPr>
            <w:rFonts w:ascii="Times New Roman" w:eastAsia="Times New Roman" w:hAnsi="Times New Roman" w:cs="Times New Roman"/>
            <w:bCs/>
            <w:caps/>
            <w:noProof/>
            <w:webHidden/>
            <w:color w:val="000000" w:themeColor="text1"/>
            <w:sz w:val="20"/>
            <w:szCs w:val="20"/>
            <w:lang w:val="ro-RO" w:eastAsia="ru-RU"/>
          </w:rPr>
          <w:t>13</w:t>
        </w:r>
        <w:r w:rsidR="006F7FD8" w:rsidRPr="003D68D2">
          <w:rPr>
            <w:rFonts w:ascii="Times New Roman" w:eastAsia="Times New Roman" w:hAnsi="Times New Roman" w:cs="Times New Roman"/>
            <w:bCs/>
            <w:caps/>
            <w:noProof/>
            <w:webHidden/>
            <w:color w:val="000000" w:themeColor="text1"/>
            <w:sz w:val="20"/>
            <w:szCs w:val="20"/>
            <w:lang w:val="ro-RO" w:eastAsia="ru-RU"/>
          </w:rPr>
          <w:fldChar w:fldCharType="end"/>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85" w:history="1">
        <w:r w:rsidR="006F7FD8" w:rsidRPr="003D68D2">
          <w:rPr>
            <w:rFonts w:ascii="Times New Roman" w:eastAsia="Times New Roman" w:hAnsi="Times New Roman" w:cs="Calibri"/>
            <w:smallCaps/>
            <w:noProof/>
            <w:color w:val="000000" w:themeColor="text1"/>
            <w:sz w:val="20"/>
            <w:szCs w:val="16"/>
            <w:u w:val="single"/>
            <w:lang w:val="ro-RO" w:eastAsia="ru-RU"/>
          </w:rPr>
          <w:t>B.</w:t>
        </w:r>
        <w:r w:rsidR="00834610">
          <w:rPr>
            <w:rFonts w:ascii="Times New Roman" w:eastAsia="Times New Roman" w:hAnsi="Times New Roman" w:cs="Calibri"/>
            <w:smallCaps/>
            <w:noProof/>
            <w:color w:val="000000" w:themeColor="text1"/>
            <w:sz w:val="20"/>
            <w:szCs w:val="16"/>
            <w:u w:val="single"/>
            <w:lang w:val="ro-RO" w:eastAsia="ru-RU"/>
          </w:rPr>
          <w:t>1</w:t>
        </w:r>
        <w:r w:rsidR="006F7FD8" w:rsidRPr="003D68D2">
          <w:rPr>
            <w:rFonts w:ascii="Times New Roman" w:eastAsia="Times New Roman" w:hAnsi="Times New Roman" w:cs="Calibri"/>
            <w:smallCaps/>
            <w:noProof/>
            <w:color w:val="000000" w:themeColor="text1"/>
            <w:sz w:val="20"/>
            <w:szCs w:val="16"/>
            <w:u w:val="single"/>
            <w:lang w:val="ro-RO" w:eastAsia="ru-RU"/>
          </w:rPr>
          <w:t xml:space="preserve">. </w:t>
        </w:r>
        <w:r w:rsidR="00834610">
          <w:rPr>
            <w:rFonts w:ascii="Times New Roman" w:eastAsia="Times New Roman" w:hAnsi="Times New Roman" w:cs="Calibri"/>
            <w:smallCaps/>
            <w:noProof/>
            <w:color w:val="000000" w:themeColor="text1"/>
            <w:sz w:val="20"/>
            <w:szCs w:val="16"/>
            <w:u w:val="single"/>
            <w:lang w:val="ro-RO" w:eastAsia="ru-RU"/>
          </w:rPr>
          <w:t>SECȚIA CONSULTATIVĂ SCR ,,TIMOFEI MOȘNEAGA”</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FF2EF7">
        <w:rPr>
          <w:rFonts w:ascii="Times New Roman" w:eastAsia="Times New Roman" w:hAnsi="Times New Roman" w:cs="Calibri"/>
          <w:smallCaps/>
          <w:noProof/>
          <w:color w:val="000000" w:themeColor="text1"/>
          <w:sz w:val="20"/>
          <w:szCs w:val="16"/>
          <w:lang w:val="ro-RO" w:eastAsia="ru-RU"/>
        </w:rPr>
        <w:t>13</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86" w:history="1">
        <w:r w:rsidR="006F7FD8" w:rsidRPr="003D68D2">
          <w:rPr>
            <w:rFonts w:ascii="Times New Roman" w:eastAsia="Times New Roman" w:hAnsi="Times New Roman" w:cs="Calibri"/>
            <w:smallCaps/>
            <w:noProof/>
            <w:color w:val="000000" w:themeColor="text1"/>
            <w:sz w:val="20"/>
            <w:szCs w:val="16"/>
            <w:u w:val="single"/>
            <w:lang w:val="ro-RO" w:eastAsia="ru-RU"/>
          </w:rPr>
          <w:t>B.</w:t>
        </w:r>
        <w:r w:rsidR="00834610">
          <w:rPr>
            <w:rFonts w:ascii="Times New Roman" w:eastAsia="Times New Roman" w:hAnsi="Times New Roman" w:cs="Calibri"/>
            <w:smallCaps/>
            <w:noProof/>
            <w:color w:val="000000" w:themeColor="text1"/>
            <w:sz w:val="20"/>
            <w:szCs w:val="16"/>
            <w:u w:val="single"/>
            <w:lang w:val="ro-RO" w:eastAsia="ru-RU"/>
          </w:rPr>
          <w:t>2</w:t>
        </w:r>
        <w:r w:rsidR="006F7FD8" w:rsidRPr="003D68D2">
          <w:rPr>
            <w:rFonts w:ascii="Times New Roman" w:eastAsia="Times New Roman" w:hAnsi="Times New Roman" w:cs="Calibri"/>
            <w:smallCaps/>
            <w:noProof/>
            <w:color w:val="000000" w:themeColor="text1"/>
            <w:sz w:val="20"/>
            <w:szCs w:val="16"/>
            <w:u w:val="single"/>
            <w:lang w:val="ro-RO" w:eastAsia="ru-RU"/>
          </w:rPr>
          <w:t xml:space="preserve">. </w:t>
        </w:r>
        <w:r w:rsidR="00834610">
          <w:rPr>
            <w:rFonts w:ascii="Times New Roman" w:eastAsia="Times New Roman" w:hAnsi="Times New Roman" w:cs="Calibri"/>
            <w:smallCaps/>
            <w:noProof/>
            <w:color w:val="000000" w:themeColor="text1"/>
            <w:sz w:val="20"/>
            <w:szCs w:val="16"/>
            <w:u w:val="single"/>
            <w:lang w:val="ro-RO" w:eastAsia="ru-RU"/>
          </w:rPr>
          <w:t>IMSP SPITALUL CLINIC REPUBLICAN ,,TIMOFEI MOȘNEAGA”</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FF2EF7">
        <w:rPr>
          <w:rFonts w:ascii="Times New Roman" w:eastAsia="Times New Roman" w:hAnsi="Times New Roman" w:cs="Calibri"/>
          <w:smallCaps/>
          <w:noProof/>
          <w:color w:val="000000" w:themeColor="text1"/>
          <w:sz w:val="20"/>
          <w:szCs w:val="16"/>
          <w:lang w:val="ro-RO" w:eastAsia="ru-RU"/>
        </w:rPr>
        <w:t>14</w:t>
      </w:r>
    </w:p>
    <w:p w:rsidR="006F7FD8" w:rsidRPr="00FF2EF7" w:rsidRDefault="00875399" w:rsidP="006F7FD8">
      <w:pPr>
        <w:tabs>
          <w:tab w:val="right" w:leader="dot" w:pos="9016"/>
        </w:tabs>
        <w:spacing w:before="120" w:after="120"/>
        <w:rPr>
          <w:rFonts w:ascii="Times New Roman" w:eastAsia="Times New Roman" w:hAnsi="Times New Roman" w:cs="Times New Roman"/>
          <w:b/>
          <w:bCs/>
          <w:caps/>
          <w:noProof/>
          <w:color w:val="000000" w:themeColor="text1"/>
          <w:kern w:val="2"/>
          <w:sz w:val="20"/>
          <w:szCs w:val="20"/>
          <w:lang w:val="ro-RO" w:eastAsia="ro-RO"/>
        </w:rPr>
      </w:pPr>
      <w:hyperlink w:anchor="_Toc177994787" w:history="1">
        <w:r w:rsidR="006F7FD8" w:rsidRPr="00FF2EF7">
          <w:rPr>
            <w:rFonts w:ascii="Times New Roman" w:eastAsia="Times New Roman" w:hAnsi="Times New Roman" w:cs="Times New Roman"/>
            <w:b/>
            <w:bCs/>
            <w:noProof/>
            <w:color w:val="000000" w:themeColor="text1"/>
            <w:sz w:val="20"/>
            <w:szCs w:val="20"/>
            <w:u w:val="single"/>
            <w:lang w:val="ro-RO" w:eastAsia="ru-RU"/>
          </w:rPr>
          <w:t>C.1. ALGORITMI DE CONDUITĂ</w:t>
        </w:r>
        <w:r w:rsidR="006F7FD8" w:rsidRPr="00FF2EF7">
          <w:rPr>
            <w:rFonts w:ascii="Times New Roman" w:eastAsia="Times New Roman" w:hAnsi="Times New Roman" w:cs="Times New Roman"/>
            <w:b/>
            <w:bCs/>
            <w:noProof/>
            <w:webHidden/>
            <w:color w:val="000000" w:themeColor="text1"/>
            <w:sz w:val="20"/>
            <w:szCs w:val="20"/>
            <w:lang w:val="ro-RO" w:eastAsia="ru-RU"/>
          </w:rPr>
          <w:tab/>
        </w:r>
      </w:hyperlink>
      <w:r w:rsidR="00FF2EF7">
        <w:rPr>
          <w:rFonts w:ascii="Times New Roman" w:eastAsia="Times New Roman" w:hAnsi="Times New Roman" w:cs="Times New Roman"/>
          <w:b/>
          <w:bCs/>
          <w:caps/>
          <w:noProof/>
          <w:color w:val="000000" w:themeColor="text1"/>
          <w:sz w:val="20"/>
          <w:szCs w:val="20"/>
          <w:lang w:val="ro-RO" w:eastAsia="ru-RU"/>
        </w:rPr>
        <w:t>16</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88" w:history="1">
        <w:r w:rsidR="006F7FD8" w:rsidRPr="003D68D2">
          <w:rPr>
            <w:rFonts w:ascii="Times New Roman" w:eastAsia="Times New Roman" w:hAnsi="Times New Roman" w:cs="Calibri"/>
            <w:smallCaps/>
            <w:noProof/>
            <w:color w:val="000000" w:themeColor="text1"/>
            <w:sz w:val="20"/>
            <w:szCs w:val="16"/>
            <w:u w:val="single"/>
            <w:lang w:val="ro-RO" w:eastAsia="ru-RU"/>
          </w:rPr>
          <w:t>C.1.1. ALGORITM DE SCREENING ȘI DIAGNOSTIC AL INFECȚIEI CRONICE CU VIRUSUL HEPATITEI 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FF2EF7">
        <w:rPr>
          <w:rFonts w:ascii="Times New Roman" w:eastAsia="Times New Roman" w:hAnsi="Times New Roman" w:cs="Calibri"/>
          <w:smallCaps/>
          <w:noProof/>
          <w:color w:val="000000" w:themeColor="text1"/>
          <w:sz w:val="20"/>
          <w:szCs w:val="16"/>
          <w:lang w:val="ro-RO" w:eastAsia="ru-RU"/>
        </w:rPr>
        <w:t>16</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89" w:history="1">
        <w:r w:rsidR="006F7FD8" w:rsidRPr="003D68D2">
          <w:rPr>
            <w:rFonts w:ascii="Times New Roman" w:eastAsia="Times New Roman" w:hAnsi="Times New Roman" w:cs="Calibri"/>
            <w:smallCaps/>
            <w:noProof/>
            <w:color w:val="000000" w:themeColor="text1"/>
            <w:sz w:val="20"/>
            <w:szCs w:val="16"/>
            <w:u w:val="single"/>
            <w:lang w:val="ro-RO" w:eastAsia="ru-RU"/>
          </w:rPr>
          <w:t>C.1.2. ALGORITM DE DIAGNOSTIC PENTRU IDENTIFICAREA INFECȚIEI CURENTE CU VHC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17</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90" w:history="1">
        <w:r w:rsidR="006F7FD8" w:rsidRPr="003D68D2">
          <w:rPr>
            <w:rFonts w:ascii="Times New Roman" w:eastAsia="Times New Roman" w:hAnsi="Times New Roman" w:cs="Times New Roman"/>
            <w:smallCaps/>
            <w:noProof/>
            <w:color w:val="000000" w:themeColor="text1"/>
            <w:sz w:val="20"/>
            <w:szCs w:val="16"/>
            <w:u w:val="single"/>
            <w:lang w:val="ro-RO" w:eastAsia="ru-RU"/>
          </w:rPr>
          <w:t>C.1.3. ALGORITM DE EVALUARE A SUGARILOR ȘI COPIILOR EXPUȘI PERINATAL LA VIRUSUL HEPATITEI 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18</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91" w:history="1">
        <w:r w:rsidR="006F7FD8" w:rsidRPr="003D68D2">
          <w:rPr>
            <w:rFonts w:ascii="Times New Roman" w:eastAsia="Times New Roman" w:hAnsi="Times New Roman" w:cs="Calibri"/>
            <w:smallCaps/>
            <w:noProof/>
            <w:color w:val="000000" w:themeColor="text1"/>
            <w:sz w:val="20"/>
            <w:szCs w:val="16"/>
            <w:u w:val="single"/>
            <w:shd w:val="clear" w:color="auto" w:fill="FFFFFF"/>
            <w:lang w:val="ro-RO" w:eastAsia="ru-RU"/>
          </w:rPr>
          <w:t>C.1.4. ALGORITM DE SELECTARE A REGIMULUI PENTRU TERAPIA INIȚIALĂ A INFECȚIEI CRONICE CU VHC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18</w:t>
      </w:r>
    </w:p>
    <w:p w:rsidR="006F7FD8" w:rsidRPr="003D68D2" w:rsidRDefault="00875399" w:rsidP="006F7FD8">
      <w:pPr>
        <w:tabs>
          <w:tab w:val="right" w:leader="dot" w:pos="9016"/>
        </w:tabs>
        <w:spacing w:before="120" w:after="120"/>
        <w:rPr>
          <w:rFonts w:ascii="Times New Roman" w:eastAsia="Times New Roman" w:hAnsi="Times New Roman" w:cs="Times New Roman"/>
          <w:bCs/>
          <w:caps/>
          <w:noProof/>
          <w:color w:val="000000" w:themeColor="text1"/>
          <w:kern w:val="2"/>
          <w:sz w:val="20"/>
          <w:szCs w:val="20"/>
          <w:lang w:val="ro-RO" w:eastAsia="ro-RO"/>
        </w:rPr>
      </w:pPr>
      <w:hyperlink w:anchor="_Toc177994792" w:history="1">
        <w:r w:rsidR="006F7FD8" w:rsidRPr="003D68D2">
          <w:rPr>
            <w:rFonts w:ascii="Times New Roman" w:eastAsia="Times New Roman" w:hAnsi="Times New Roman" w:cs="Times New Roman"/>
            <w:bCs/>
            <w:noProof/>
            <w:color w:val="000000" w:themeColor="text1"/>
            <w:sz w:val="20"/>
            <w:szCs w:val="20"/>
            <w:u w:val="single"/>
            <w:lang w:val="ro-RO" w:eastAsia="ru-RU"/>
          </w:rPr>
          <w:t>C.2. DESCRIEREA METODELOR, TEHNICILOR ŞI PROCEDURILOR</w:t>
        </w:r>
        <w:r w:rsidR="006F7FD8" w:rsidRPr="003D68D2">
          <w:rPr>
            <w:rFonts w:ascii="Times New Roman" w:eastAsia="Times New Roman" w:hAnsi="Times New Roman" w:cs="Times New Roman"/>
            <w:bCs/>
            <w:noProof/>
            <w:webHidden/>
            <w:color w:val="000000" w:themeColor="text1"/>
            <w:sz w:val="20"/>
            <w:szCs w:val="20"/>
            <w:lang w:val="ro-RO" w:eastAsia="ru-RU"/>
          </w:rPr>
          <w:tab/>
        </w:r>
      </w:hyperlink>
      <w:r w:rsidR="00BB693D">
        <w:rPr>
          <w:rFonts w:ascii="Times New Roman" w:eastAsia="Times New Roman" w:hAnsi="Times New Roman" w:cs="Times New Roman"/>
          <w:bCs/>
          <w:caps/>
          <w:noProof/>
          <w:color w:val="000000" w:themeColor="text1"/>
          <w:sz w:val="20"/>
          <w:szCs w:val="20"/>
          <w:lang w:val="ro-RO" w:eastAsia="ru-RU"/>
        </w:rPr>
        <w:t>19</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93" w:history="1">
        <w:r w:rsidR="006F7FD8" w:rsidRPr="003D68D2">
          <w:rPr>
            <w:rFonts w:ascii="Times New Roman" w:eastAsia="Times New Roman" w:hAnsi="Times New Roman" w:cs="Calibri"/>
            <w:smallCaps/>
            <w:noProof/>
            <w:color w:val="000000" w:themeColor="text1"/>
            <w:sz w:val="20"/>
            <w:szCs w:val="16"/>
            <w:u w:val="single"/>
            <w:lang w:val="ro-RO" w:eastAsia="ru-RU"/>
          </w:rPr>
          <w:t>C.2.1. CLASIFICAREA HEPATITEI VIRALE C CRONICE</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19</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97" w:history="1">
        <w:r w:rsidR="006F7FD8" w:rsidRPr="003D68D2">
          <w:rPr>
            <w:rFonts w:ascii="Times New Roman" w:eastAsia="Times New Roman" w:hAnsi="Times New Roman" w:cs="Calibri"/>
            <w:smallCaps/>
            <w:noProof/>
            <w:color w:val="000000" w:themeColor="text1"/>
            <w:sz w:val="20"/>
            <w:szCs w:val="16"/>
            <w:u w:val="single"/>
            <w:lang w:val="ro-RO" w:eastAsia="ru-RU"/>
          </w:rPr>
          <w:t>C.2.3. CONDUITA PACIENTULUI CU BOLI HEPATICE DETERMINATE DE INFECȚIA CRONICĂ CU VIRUSUL HEPATITEI 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20</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98" w:history="1">
        <w:r w:rsidR="006F7FD8" w:rsidRPr="003D68D2">
          <w:rPr>
            <w:rFonts w:ascii="Times New Roman" w:eastAsia="Times New Roman" w:hAnsi="Times New Roman" w:cs="Calibri"/>
            <w:smallCaps/>
            <w:noProof/>
            <w:color w:val="000000" w:themeColor="text1"/>
            <w:sz w:val="20"/>
            <w:szCs w:val="16"/>
            <w:u w:val="single"/>
            <w:lang w:val="ro-RO" w:eastAsia="ru-RU"/>
          </w:rPr>
          <w:t>C.2.3.1. ANAMNEZA</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20</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799" w:history="1">
        <w:r w:rsidR="006F7FD8" w:rsidRPr="003D68D2">
          <w:rPr>
            <w:rFonts w:ascii="Times New Roman" w:eastAsia="Times New Roman" w:hAnsi="Times New Roman" w:cs="Calibri"/>
            <w:smallCaps/>
            <w:noProof/>
            <w:color w:val="000000" w:themeColor="text1"/>
            <w:sz w:val="20"/>
            <w:szCs w:val="16"/>
            <w:u w:val="single"/>
            <w:lang w:val="ro-RO" w:eastAsia="ru-RU"/>
          </w:rPr>
          <w:t>C.2.3.2. MANIFESTĂRI CLINICE</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21</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0" w:history="1">
        <w:r w:rsidR="006F7FD8" w:rsidRPr="003D68D2">
          <w:rPr>
            <w:rFonts w:ascii="Times New Roman" w:eastAsia="Times New Roman" w:hAnsi="Times New Roman" w:cs="Calibri"/>
            <w:iCs/>
            <w:smallCaps/>
            <w:noProof/>
            <w:color w:val="000000" w:themeColor="text1"/>
            <w:sz w:val="20"/>
            <w:szCs w:val="16"/>
            <w:u w:val="single"/>
            <w:lang w:val="ro-RO" w:eastAsia="ru-RU"/>
          </w:rPr>
          <w:t>C.2.3.3. INVESTIGAŢII PARACLINICE</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21</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1"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 xml:space="preserve">C.2.3.3.1. </w:t>
        </w:r>
        <w:r w:rsidR="006F7FD8" w:rsidRPr="003D68D2">
          <w:rPr>
            <w:rFonts w:ascii="Times New Roman" w:eastAsia="Times New Roman" w:hAnsi="Times New Roman" w:cs="Calibri"/>
            <w:smallCaps/>
            <w:noProof/>
            <w:color w:val="000000" w:themeColor="text1"/>
            <w:sz w:val="20"/>
            <w:szCs w:val="16"/>
            <w:u w:val="single"/>
            <w:lang w:val="ro-RO" w:eastAsia="ru-RU"/>
          </w:rPr>
          <w:t>TESTE DE DIAGNOSTICARE PENTRU INFECŢIA CU VIRUSUL HEPATITEI 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21</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2"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 xml:space="preserve">C.2.3.3.2. </w:t>
        </w:r>
        <w:r w:rsidR="006F7FD8" w:rsidRPr="003D68D2">
          <w:rPr>
            <w:rFonts w:ascii="Times New Roman" w:eastAsia="Times New Roman" w:hAnsi="Times New Roman" w:cs="Calibri"/>
            <w:smallCaps/>
            <w:noProof/>
            <w:color w:val="000000" w:themeColor="text1"/>
            <w:sz w:val="20"/>
            <w:szCs w:val="16"/>
            <w:u w:val="single"/>
            <w:lang w:val="ro-RO" w:eastAsia="ru-RU"/>
          </w:rPr>
          <w:t>INTERPRETAREA REZULTATELOR TESTĂRILOR PENTRU INFECŢIA CU VHC ȘI ACȚIUNILE ULTERIOARE</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BB693D">
        <w:rPr>
          <w:rFonts w:ascii="Times New Roman" w:eastAsia="Times New Roman" w:hAnsi="Times New Roman" w:cs="Calibri"/>
          <w:smallCaps/>
          <w:noProof/>
          <w:color w:val="000000" w:themeColor="text1"/>
          <w:sz w:val="20"/>
          <w:szCs w:val="16"/>
          <w:lang w:val="ro-RO" w:eastAsia="ru-RU"/>
        </w:rPr>
        <w:t>22</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3"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C.2.3.4. EVALUAREA PRE-TERAPEUTICĂ</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9858C6">
        <w:rPr>
          <w:rFonts w:ascii="Times New Roman" w:eastAsia="Times New Roman" w:hAnsi="Times New Roman" w:cs="Calibri"/>
          <w:smallCaps/>
          <w:noProof/>
          <w:color w:val="000000" w:themeColor="text1"/>
          <w:sz w:val="20"/>
          <w:szCs w:val="16"/>
          <w:lang w:val="ro-RO" w:eastAsia="ru-RU"/>
        </w:rPr>
        <w:t>2</w:t>
      </w:r>
      <w:r w:rsidR="00113A40">
        <w:rPr>
          <w:rFonts w:ascii="Times New Roman" w:eastAsia="Times New Roman" w:hAnsi="Times New Roman" w:cs="Calibri"/>
          <w:smallCaps/>
          <w:noProof/>
          <w:color w:val="000000" w:themeColor="text1"/>
          <w:sz w:val="20"/>
          <w:szCs w:val="16"/>
          <w:lang w:val="ro-RO" w:eastAsia="ru-RU"/>
        </w:rPr>
        <w:t>3</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4" w:history="1">
        <w:r w:rsidR="006F7FD8" w:rsidRPr="003D68D2">
          <w:rPr>
            <w:rFonts w:ascii="Times New Roman" w:eastAsia="Times New Roman" w:hAnsi="Times New Roman" w:cs="Calibri"/>
            <w:smallCaps/>
            <w:noProof/>
            <w:color w:val="000000" w:themeColor="text1"/>
            <w:sz w:val="20"/>
            <w:szCs w:val="16"/>
            <w:u w:val="single"/>
            <w:lang w:val="ro-RO" w:eastAsia="ru-RU"/>
          </w:rPr>
          <w:t>C.2.3.5. INTERVENŢII ŞI DE PROCEDURI DE DIAGNOSTIC LA DIFERITE NIVELE DE ÎNGRIJIRE A PACIENȚILOR</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31</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5" w:history="1">
        <w:r w:rsidR="006F7FD8" w:rsidRPr="003D68D2">
          <w:rPr>
            <w:rFonts w:ascii="Times New Roman" w:eastAsia="Times New Roman" w:hAnsi="Times New Roman" w:cs="Calibri"/>
            <w:smallCaps/>
            <w:noProof/>
            <w:color w:val="000000" w:themeColor="text1"/>
            <w:sz w:val="20"/>
            <w:szCs w:val="16"/>
            <w:u w:val="single"/>
            <w:lang w:val="ro-RO" w:eastAsia="ru-RU"/>
          </w:rPr>
          <w:t>C.2.3.6. DIAGNOSTICUL DIFERENŢIAL AL HEPATITEI VIRALE C CRONICE</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3</w:t>
      </w:r>
      <w:r w:rsidR="009858C6">
        <w:rPr>
          <w:rFonts w:ascii="Times New Roman" w:eastAsia="Times New Roman" w:hAnsi="Times New Roman" w:cs="Calibri"/>
          <w:smallCaps/>
          <w:noProof/>
          <w:color w:val="000000" w:themeColor="text1"/>
          <w:sz w:val="20"/>
          <w:szCs w:val="16"/>
          <w:lang w:val="ro-RO" w:eastAsia="ru-RU"/>
        </w:rPr>
        <w:t>3</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6" w:history="1">
        <w:r w:rsidR="006F7FD8" w:rsidRPr="003D68D2">
          <w:rPr>
            <w:rFonts w:ascii="Times New Roman" w:eastAsia="Times New Roman" w:hAnsi="Times New Roman" w:cs="Calibri"/>
            <w:smallCaps/>
            <w:noProof/>
            <w:color w:val="000000" w:themeColor="text1"/>
            <w:sz w:val="20"/>
            <w:szCs w:val="16"/>
            <w:u w:val="single"/>
            <w:lang w:val="ro-RO" w:eastAsia="ru-RU"/>
          </w:rPr>
          <w:t>C.2.3.7. CRITERIILE DE SPITALIZARE</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34</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7" w:history="1">
        <w:r w:rsidR="006F7FD8" w:rsidRPr="003D68D2">
          <w:rPr>
            <w:rFonts w:ascii="Times New Roman" w:eastAsia="Times New Roman" w:hAnsi="Times New Roman" w:cs="Calibri"/>
            <w:smallCaps/>
            <w:noProof/>
            <w:color w:val="000000" w:themeColor="text1"/>
            <w:sz w:val="20"/>
            <w:szCs w:val="16"/>
            <w:u w:val="single"/>
            <w:lang w:val="ro-RO" w:eastAsia="ru-RU"/>
          </w:rPr>
          <w:t>C.2.3.8. MANAGEMENTUL INFECȚIEI CRONICE CU VIRUSUL HEPATITEI 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34</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8"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C.2.3.8.1. MODIFICAREA COMPORTAMENTULUI</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34</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09"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 xml:space="preserve">C.2.3.8.2. </w:t>
        </w:r>
        <w:r w:rsidR="006F7FD8" w:rsidRPr="003D68D2">
          <w:rPr>
            <w:rFonts w:ascii="Times New Roman" w:eastAsia="Times New Roman" w:hAnsi="Times New Roman" w:cs="Calibri"/>
            <w:smallCaps/>
            <w:noProof/>
            <w:color w:val="000000" w:themeColor="text1"/>
            <w:sz w:val="20"/>
            <w:szCs w:val="16"/>
            <w:u w:val="single"/>
            <w:lang w:val="ro-RO" w:eastAsia="ru-RU"/>
          </w:rPr>
          <w:t>PRINCIPII DE BAZĂ ÎN TRATAMENTUL PACIENTULUI CU HEPATITĂ VIRALĂ CRONICĂ CU VIRUSUL HEPATITEI C/CIROZĂ HEPATICĂ VIRALĂ 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3</w:t>
      </w:r>
      <w:r w:rsidR="009858C6">
        <w:rPr>
          <w:rFonts w:ascii="Times New Roman" w:eastAsia="Times New Roman" w:hAnsi="Times New Roman" w:cs="Calibri"/>
          <w:smallCaps/>
          <w:noProof/>
          <w:color w:val="000000" w:themeColor="text1"/>
          <w:sz w:val="20"/>
          <w:szCs w:val="16"/>
          <w:lang w:val="ro-RO" w:eastAsia="ru-RU"/>
        </w:rPr>
        <w:t>4</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10" w:history="1">
        <w:r w:rsidR="006F7FD8" w:rsidRPr="003D68D2">
          <w:rPr>
            <w:rFonts w:ascii="Times New Roman" w:eastAsia="Times New Roman" w:hAnsi="Times New Roman" w:cs="Calibri"/>
            <w:smallCaps/>
            <w:noProof/>
            <w:color w:val="000000" w:themeColor="text1"/>
            <w:sz w:val="20"/>
            <w:szCs w:val="16"/>
            <w:u w:val="single"/>
            <w:lang w:val="ro-RO" w:eastAsia="ru-RU"/>
          </w:rPr>
          <w:t>C.2.3.8.3. TERAPIA ANTIVIRALĂ INIȚIALĂ LA ADULȚII CU INFECȚIE CRONICĂ VIRALĂ 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38</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11"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 xml:space="preserve">C.2.3.8.4. </w:t>
        </w:r>
        <w:r w:rsidR="006F7FD8" w:rsidRPr="003D68D2">
          <w:rPr>
            <w:rFonts w:ascii="Times New Roman" w:eastAsia="Times New Roman" w:hAnsi="Times New Roman" w:cs="Calibri"/>
            <w:smallCaps/>
            <w:noProof/>
            <w:color w:val="000000" w:themeColor="text1"/>
            <w:sz w:val="20"/>
            <w:szCs w:val="16"/>
            <w:u w:val="single"/>
            <w:shd w:val="clear" w:color="auto" w:fill="FFFFFF"/>
            <w:lang w:val="ro-RO" w:eastAsia="ru-RU"/>
          </w:rPr>
          <w:t>TRATAMENTUL HEPATITEI VIRALE C LA PACIENTII CU TRANSPLANT DE ORGANE SOLIDE (INCLUSIV FICAT)</w:t>
        </w:r>
        <w:r w:rsidR="006F7FD8" w:rsidRPr="003D68D2">
          <w:rPr>
            <w:rFonts w:ascii="Times New Roman" w:eastAsia="Times New Roman" w:hAnsi="Times New Roman" w:cs="Calibri"/>
            <w:smallCaps/>
            <w:noProof/>
            <w:webHidden/>
            <w:color w:val="000000" w:themeColor="text1"/>
            <w:sz w:val="20"/>
            <w:szCs w:val="16"/>
            <w:lang w:val="ro-RO" w:eastAsia="ru-RU"/>
          </w:rPr>
          <w:tab/>
        </w:r>
        <w:r w:rsidR="00113A40">
          <w:rPr>
            <w:rFonts w:ascii="Times New Roman" w:eastAsia="Times New Roman" w:hAnsi="Times New Roman" w:cs="Calibri"/>
            <w:smallCaps/>
            <w:noProof/>
            <w:webHidden/>
            <w:color w:val="000000" w:themeColor="text1"/>
            <w:sz w:val="20"/>
            <w:szCs w:val="16"/>
            <w:lang w:val="ro-RO" w:eastAsia="ru-RU"/>
          </w:rPr>
          <w:t>5</w:t>
        </w:r>
      </w:hyperlink>
      <w:r w:rsidR="009858C6">
        <w:rPr>
          <w:rFonts w:ascii="Times New Roman" w:eastAsia="Times New Roman" w:hAnsi="Times New Roman" w:cs="Calibri"/>
          <w:smallCaps/>
          <w:noProof/>
          <w:color w:val="000000" w:themeColor="text1"/>
          <w:sz w:val="20"/>
          <w:szCs w:val="16"/>
          <w:lang w:val="ro-RO" w:eastAsia="ru-RU"/>
        </w:rPr>
        <w:t>0</w:t>
      </w:r>
    </w:p>
    <w:p w:rsidR="006F7FD8" w:rsidRPr="003D68D2" w:rsidRDefault="006F7FD8"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r w:rsidRPr="003D68D2">
        <w:rPr>
          <w:rFonts w:ascii="Times New Roman" w:eastAsia="Times New Roman" w:hAnsi="Times New Roman" w:cs="Calibri"/>
          <w:smallCaps/>
          <w:noProof/>
          <w:color w:val="000000" w:themeColor="text1"/>
          <w:spacing w:val="5"/>
          <w:sz w:val="20"/>
          <w:szCs w:val="16"/>
          <w:u w:val="single"/>
          <w:lang w:val="ro-RO" w:eastAsia="ru-RU"/>
        </w:rPr>
        <w:t xml:space="preserve">C.2.3.8.5. </w:t>
      </w:r>
      <w:r w:rsidRPr="003D68D2">
        <w:rPr>
          <w:rFonts w:ascii="Times New Roman" w:eastAsia="Times New Roman" w:hAnsi="Times New Roman" w:cs="Calibri"/>
          <w:smallCaps/>
          <w:noProof/>
          <w:color w:val="000000" w:themeColor="text1"/>
          <w:sz w:val="20"/>
          <w:szCs w:val="16"/>
          <w:u w:val="single"/>
          <w:lang w:val="ro-RO" w:eastAsia="ru-RU"/>
        </w:rPr>
        <w:t>TRATAMENTUL HEPATITEI VIRALE C CRONICE LA PACIENTII CU HCC</w:t>
      </w:r>
      <w:r w:rsidR="00113A40">
        <w:rPr>
          <w:rFonts w:ascii="Times New Roman" w:eastAsia="Times New Roman" w:hAnsi="Times New Roman" w:cs="Calibri"/>
          <w:smallCaps/>
          <w:noProof/>
          <w:color w:val="000000" w:themeColor="text1"/>
          <w:sz w:val="20"/>
          <w:szCs w:val="16"/>
          <w:u w:val="single"/>
          <w:lang w:val="ro-RO" w:eastAsia="ru-RU"/>
        </w:rPr>
        <w:t>........................5</w:t>
      </w:r>
      <w:r w:rsidR="009858C6">
        <w:rPr>
          <w:rFonts w:ascii="Times New Roman" w:eastAsia="Times New Roman" w:hAnsi="Times New Roman" w:cs="Calibri"/>
          <w:smallCaps/>
          <w:noProof/>
          <w:color w:val="000000" w:themeColor="text1"/>
          <w:sz w:val="20"/>
          <w:szCs w:val="16"/>
          <w:u w:val="single"/>
          <w:lang w:val="ro-RO" w:eastAsia="ru-RU"/>
        </w:rPr>
        <w:t>1</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13" w:history="1">
        <w:r w:rsidR="006F7FD8" w:rsidRPr="003D68D2">
          <w:rPr>
            <w:rFonts w:ascii="Times New Roman" w:eastAsia="Times New Roman" w:hAnsi="Times New Roman" w:cs="Calibri"/>
            <w:smallCaps/>
            <w:noProof/>
            <w:color w:val="000000" w:themeColor="text1"/>
            <w:sz w:val="20"/>
            <w:szCs w:val="16"/>
            <w:u w:val="single"/>
            <w:lang w:val="ro-RO" w:eastAsia="ru-RU"/>
          </w:rPr>
          <w:t>C</w:t>
        </w:r>
      </w:hyperlink>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14"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 xml:space="preserve">C.2.3.8.7. </w:t>
        </w:r>
        <w:r w:rsidR="006F7FD8" w:rsidRPr="003D68D2">
          <w:rPr>
            <w:rFonts w:ascii="Times New Roman" w:eastAsia="Times New Roman" w:hAnsi="Times New Roman" w:cs="Calibri"/>
            <w:smallCaps/>
            <w:noProof/>
            <w:color w:val="000000" w:themeColor="text1"/>
            <w:sz w:val="20"/>
            <w:szCs w:val="16"/>
            <w:u w:val="single"/>
            <w:lang w:val="ro-RO" w:eastAsia="ru-RU"/>
          </w:rPr>
          <w:t>TRATAMENTUL HEPATITEI VIRALE C CRONICE LA PACIENȚII CU COMORBIDITĂȚI</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5</w:t>
      </w:r>
      <w:r w:rsidR="009858C6">
        <w:rPr>
          <w:rFonts w:ascii="Times New Roman" w:eastAsia="Times New Roman" w:hAnsi="Times New Roman" w:cs="Calibri"/>
          <w:smallCaps/>
          <w:noProof/>
          <w:color w:val="000000" w:themeColor="text1"/>
          <w:sz w:val="20"/>
          <w:szCs w:val="16"/>
          <w:lang w:val="ro-RO" w:eastAsia="ru-RU"/>
        </w:rPr>
        <w:t>2</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15"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 xml:space="preserve">C.2.3.8.8. </w:t>
        </w:r>
        <w:r w:rsidR="006F7FD8" w:rsidRPr="003D68D2">
          <w:rPr>
            <w:rFonts w:ascii="Times New Roman" w:eastAsia="Times New Roman" w:hAnsi="Times New Roman" w:cs="Calibri"/>
            <w:smallCaps/>
            <w:noProof/>
            <w:color w:val="000000" w:themeColor="text1"/>
            <w:sz w:val="20"/>
            <w:szCs w:val="16"/>
            <w:u w:val="single"/>
            <w:lang w:val="ro-RO" w:eastAsia="ru-RU"/>
          </w:rPr>
          <w:t>RETRATAMENTUL ANTIVIRAL DUPĂ RECĂDERE LA ADULȚI. RETRATAREA EȘECURILOR DAA</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5</w:t>
      </w:r>
      <w:r w:rsidR="009858C6">
        <w:rPr>
          <w:rFonts w:ascii="Times New Roman" w:eastAsia="Times New Roman" w:hAnsi="Times New Roman" w:cs="Calibri"/>
          <w:smallCaps/>
          <w:noProof/>
          <w:color w:val="000000" w:themeColor="text1"/>
          <w:sz w:val="20"/>
          <w:szCs w:val="16"/>
          <w:lang w:val="ro-RO" w:eastAsia="ru-RU"/>
        </w:rPr>
        <w:t>4</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18" w:history="1">
        <w:r w:rsidR="006F7FD8" w:rsidRPr="003D68D2">
          <w:rPr>
            <w:rFonts w:ascii="Times New Roman" w:eastAsia="Times New Roman" w:hAnsi="Times New Roman" w:cs="Calibri"/>
            <w:smallCaps/>
            <w:noProof/>
            <w:color w:val="000000" w:themeColor="text1"/>
            <w:spacing w:val="5"/>
            <w:sz w:val="20"/>
            <w:szCs w:val="16"/>
            <w:u w:val="single"/>
            <w:lang w:val="ro-RO" w:eastAsia="ru-RU"/>
          </w:rPr>
          <w:t xml:space="preserve">C.2.3.10. </w:t>
        </w:r>
        <w:r w:rsidR="006F7FD8" w:rsidRPr="003D68D2">
          <w:rPr>
            <w:rFonts w:ascii="Times New Roman" w:eastAsia="Times New Roman" w:hAnsi="Times New Roman" w:cs="Calibri"/>
            <w:smallCaps/>
            <w:noProof/>
            <w:color w:val="000000" w:themeColor="text1"/>
            <w:sz w:val="20"/>
            <w:szCs w:val="16"/>
            <w:u w:val="single"/>
            <w:lang w:val="ro-RO" w:eastAsia="ru-RU"/>
          </w:rPr>
          <w:t>SUPRAVEGHEREA PACIENȚILOR CU INFECȚIE CU VHC NETRATAȚI ȘI A CELOR TRATAȚI</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5</w:t>
      </w:r>
      <w:r w:rsidR="009858C6">
        <w:rPr>
          <w:rFonts w:ascii="Times New Roman" w:eastAsia="Times New Roman" w:hAnsi="Times New Roman" w:cs="Calibri"/>
          <w:smallCaps/>
          <w:noProof/>
          <w:color w:val="000000" w:themeColor="text1"/>
          <w:sz w:val="20"/>
          <w:szCs w:val="16"/>
          <w:lang w:val="ro-RO" w:eastAsia="ru-RU"/>
        </w:rPr>
        <w:t>7</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19" w:history="1">
        <w:r w:rsidR="006F7FD8" w:rsidRPr="003D68D2">
          <w:rPr>
            <w:rFonts w:ascii="Times New Roman" w:eastAsia="Times New Roman" w:hAnsi="Times New Roman" w:cs="Calibri"/>
            <w:smallCaps/>
            <w:noProof/>
            <w:color w:val="000000" w:themeColor="text1"/>
            <w:sz w:val="20"/>
            <w:szCs w:val="16"/>
            <w:u w:val="single"/>
            <w:lang w:val="ro-RO" w:eastAsia="ru-RU"/>
          </w:rPr>
          <w:t>C.2.3.11. PROGNOZA ÎN INFECȚIA CU VIRUSUL HEPATITEI C</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113A40">
        <w:rPr>
          <w:rFonts w:ascii="Times New Roman" w:eastAsia="Times New Roman" w:hAnsi="Times New Roman" w:cs="Calibri"/>
          <w:smallCaps/>
          <w:noProof/>
          <w:color w:val="000000" w:themeColor="text1"/>
          <w:sz w:val="20"/>
          <w:szCs w:val="16"/>
          <w:lang w:val="ro-RO" w:eastAsia="ru-RU"/>
        </w:rPr>
        <w:t>5</w:t>
      </w:r>
      <w:r w:rsidR="009858C6">
        <w:rPr>
          <w:rFonts w:ascii="Times New Roman" w:eastAsia="Times New Roman" w:hAnsi="Times New Roman" w:cs="Calibri"/>
          <w:smallCaps/>
          <w:noProof/>
          <w:color w:val="000000" w:themeColor="text1"/>
          <w:sz w:val="20"/>
          <w:szCs w:val="16"/>
          <w:lang w:val="ro-RO" w:eastAsia="ru-RU"/>
        </w:rPr>
        <w:t>8</w:t>
      </w:r>
    </w:p>
    <w:p w:rsidR="006F7FD8" w:rsidRPr="003D68D2" w:rsidRDefault="00875399" w:rsidP="006F7FD8">
      <w:pPr>
        <w:tabs>
          <w:tab w:val="right" w:leader="dot" w:pos="9016"/>
        </w:tabs>
        <w:spacing w:before="120" w:after="120"/>
        <w:rPr>
          <w:rFonts w:ascii="Times New Roman" w:eastAsia="Times New Roman" w:hAnsi="Times New Roman" w:cs="Times New Roman"/>
          <w:bCs/>
          <w:caps/>
          <w:noProof/>
          <w:color w:val="000000" w:themeColor="text1"/>
          <w:kern w:val="2"/>
          <w:sz w:val="20"/>
          <w:szCs w:val="20"/>
          <w:lang w:val="ro-RO" w:eastAsia="ro-RO"/>
        </w:rPr>
      </w:pPr>
      <w:hyperlink w:anchor="_Toc177994820" w:history="1">
        <w:r w:rsidR="006F7FD8" w:rsidRPr="003D68D2">
          <w:rPr>
            <w:rFonts w:ascii="Times New Roman" w:eastAsia="Times New Roman" w:hAnsi="Times New Roman" w:cs="Times New Roman"/>
            <w:bCs/>
            <w:noProof/>
            <w:color w:val="000000" w:themeColor="text1"/>
            <w:sz w:val="20"/>
            <w:szCs w:val="20"/>
            <w:u w:val="single"/>
            <w:lang w:val="ro-RO" w:eastAsia="ru-RU"/>
          </w:rPr>
          <w:t>D. RESURSE UMANE ŞI MATERIALE NECESARE PENTRU RESPECTAREA PREVEDERILOR PROTOCOLULUI</w:t>
        </w:r>
        <w:r w:rsidR="006F7FD8" w:rsidRPr="003D68D2">
          <w:rPr>
            <w:rFonts w:ascii="Times New Roman" w:eastAsia="Times New Roman" w:hAnsi="Times New Roman" w:cs="Times New Roman"/>
            <w:bCs/>
            <w:noProof/>
            <w:webHidden/>
            <w:color w:val="000000" w:themeColor="text1"/>
            <w:sz w:val="20"/>
            <w:szCs w:val="20"/>
            <w:lang w:val="ro-RO" w:eastAsia="ru-RU"/>
          </w:rPr>
          <w:tab/>
        </w:r>
      </w:hyperlink>
      <w:r w:rsidR="009858C6">
        <w:rPr>
          <w:rFonts w:ascii="Times New Roman" w:eastAsia="Times New Roman" w:hAnsi="Times New Roman" w:cs="Times New Roman"/>
          <w:bCs/>
          <w:caps/>
          <w:noProof/>
          <w:color w:val="000000" w:themeColor="text1"/>
          <w:sz w:val="20"/>
          <w:szCs w:val="20"/>
          <w:lang w:val="ro-RO" w:eastAsia="ru-RU"/>
        </w:rPr>
        <w:t>58</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22" w:history="1">
        <w:r w:rsidR="006F7FD8" w:rsidRPr="003D68D2">
          <w:rPr>
            <w:rFonts w:ascii="Times New Roman" w:eastAsia="Calibri" w:hAnsi="Times New Roman" w:cs="Calibri"/>
            <w:smallCaps/>
            <w:noProof/>
            <w:color w:val="000000" w:themeColor="text1"/>
            <w:sz w:val="20"/>
            <w:szCs w:val="16"/>
            <w:u w:val="single"/>
            <w:lang w:val="ro-RO" w:eastAsia="ru-RU"/>
          </w:rPr>
          <w:t>D.</w:t>
        </w:r>
        <w:r w:rsidR="009F0E53">
          <w:rPr>
            <w:rFonts w:ascii="Times New Roman" w:eastAsia="Calibri" w:hAnsi="Times New Roman" w:cs="Calibri"/>
            <w:smallCaps/>
            <w:noProof/>
            <w:color w:val="000000" w:themeColor="text1"/>
            <w:sz w:val="20"/>
            <w:szCs w:val="16"/>
            <w:u w:val="single"/>
            <w:lang w:val="ro-RO" w:eastAsia="ru-RU"/>
          </w:rPr>
          <w:t>1</w:t>
        </w:r>
        <w:r w:rsidR="006F7FD8" w:rsidRPr="003D68D2">
          <w:rPr>
            <w:rFonts w:ascii="Times New Roman" w:eastAsia="Calibri" w:hAnsi="Times New Roman" w:cs="Calibri"/>
            <w:smallCaps/>
            <w:noProof/>
            <w:color w:val="000000" w:themeColor="text1"/>
            <w:sz w:val="20"/>
            <w:szCs w:val="16"/>
            <w:u w:val="single"/>
            <w:lang w:val="ro-RO" w:eastAsia="ru-RU"/>
          </w:rPr>
          <w:t xml:space="preserve">. </w:t>
        </w:r>
        <w:r w:rsidR="009F0E53">
          <w:rPr>
            <w:rFonts w:ascii="Times New Roman" w:eastAsia="Calibri" w:hAnsi="Times New Roman" w:cs="Calibri"/>
            <w:smallCaps/>
            <w:noProof/>
            <w:color w:val="000000" w:themeColor="text1"/>
            <w:sz w:val="20"/>
            <w:szCs w:val="16"/>
            <w:u w:val="single"/>
            <w:lang w:val="ro-RO" w:eastAsia="ru-RU"/>
          </w:rPr>
          <w:t>SECȚIA CONSULTATIVĂ SCR ,,TIMOFEI MOȘNEAGA”</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9858C6">
        <w:rPr>
          <w:rFonts w:ascii="Times New Roman" w:eastAsia="Times New Roman" w:hAnsi="Times New Roman" w:cs="Calibri"/>
          <w:smallCaps/>
          <w:noProof/>
          <w:color w:val="000000" w:themeColor="text1"/>
          <w:sz w:val="20"/>
          <w:szCs w:val="16"/>
          <w:lang w:val="ro-RO" w:eastAsia="ru-RU"/>
        </w:rPr>
        <w:t>58</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24" w:history="1">
        <w:r w:rsidR="009F0E53">
          <w:rPr>
            <w:rFonts w:ascii="Times New Roman" w:eastAsia="Calibri" w:hAnsi="Times New Roman" w:cs="Calibri"/>
            <w:smallCaps/>
            <w:noProof/>
            <w:color w:val="000000" w:themeColor="text1"/>
            <w:sz w:val="20"/>
            <w:szCs w:val="16"/>
            <w:u w:val="single"/>
            <w:lang w:val="ro-RO" w:eastAsia="ru-RU"/>
          </w:rPr>
          <w:t>D.2</w:t>
        </w:r>
        <w:r w:rsidR="006F7FD8" w:rsidRPr="003D68D2">
          <w:rPr>
            <w:rFonts w:ascii="Times New Roman" w:eastAsia="Calibri" w:hAnsi="Times New Roman" w:cs="Calibri"/>
            <w:smallCaps/>
            <w:noProof/>
            <w:color w:val="000000" w:themeColor="text1"/>
            <w:sz w:val="20"/>
            <w:szCs w:val="16"/>
            <w:u w:val="single"/>
            <w:lang w:val="ro-RO" w:eastAsia="ru-RU"/>
          </w:rPr>
          <w:t>. IMSP – SPITALUL CLINIC REPUBLICAN ”TIMOFEI MOȘNEAGĂ”,</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9858C6">
        <w:rPr>
          <w:rFonts w:ascii="Times New Roman" w:eastAsia="Times New Roman" w:hAnsi="Times New Roman" w:cs="Calibri"/>
          <w:smallCaps/>
          <w:noProof/>
          <w:color w:val="000000" w:themeColor="text1"/>
          <w:sz w:val="20"/>
          <w:szCs w:val="16"/>
          <w:lang w:val="ro-RO" w:eastAsia="ru-RU"/>
        </w:rPr>
        <w:t>59</w:t>
      </w:r>
    </w:p>
    <w:p w:rsidR="006F7FD8" w:rsidRDefault="00875399" w:rsidP="006F7FD8">
      <w:pPr>
        <w:tabs>
          <w:tab w:val="right" w:leader="dot" w:pos="9016"/>
        </w:tabs>
        <w:spacing w:before="120" w:after="120"/>
        <w:rPr>
          <w:rFonts w:ascii="Times New Roman" w:eastAsia="Times New Roman" w:hAnsi="Times New Roman" w:cs="Times New Roman"/>
          <w:bCs/>
          <w:caps/>
          <w:noProof/>
          <w:color w:val="000000" w:themeColor="text1"/>
          <w:sz w:val="20"/>
          <w:szCs w:val="20"/>
          <w:lang w:val="ro-RO" w:eastAsia="ru-RU"/>
        </w:rPr>
      </w:pPr>
      <w:hyperlink w:anchor="_Toc177994825" w:history="1">
        <w:r w:rsidR="006F7FD8" w:rsidRPr="003D68D2">
          <w:rPr>
            <w:rFonts w:ascii="Times New Roman" w:eastAsia="Times New Roman" w:hAnsi="Times New Roman" w:cs="Times New Roman"/>
            <w:bCs/>
            <w:noProof/>
            <w:color w:val="000000" w:themeColor="text1"/>
            <w:sz w:val="20"/>
            <w:szCs w:val="20"/>
            <w:u w:val="single"/>
            <w:shd w:val="clear" w:color="auto" w:fill="FFFFFF"/>
            <w:lang w:val="ro-RO" w:eastAsia="ru-RU"/>
          </w:rPr>
          <w:t>E. INDICATORI DE MONITORIZARE A IMPLEMENTĂRII PCN</w:t>
        </w:r>
        <w:r w:rsidR="006F7FD8" w:rsidRPr="003D68D2">
          <w:rPr>
            <w:rFonts w:ascii="Times New Roman" w:eastAsia="Times New Roman" w:hAnsi="Times New Roman" w:cs="Times New Roman"/>
            <w:bCs/>
            <w:noProof/>
            <w:webHidden/>
            <w:color w:val="000000" w:themeColor="text1"/>
            <w:sz w:val="20"/>
            <w:szCs w:val="20"/>
            <w:lang w:val="ro-RO" w:eastAsia="ru-RU"/>
          </w:rPr>
          <w:tab/>
        </w:r>
      </w:hyperlink>
      <w:r w:rsidR="00113A40">
        <w:rPr>
          <w:rFonts w:ascii="Times New Roman" w:eastAsia="Times New Roman" w:hAnsi="Times New Roman" w:cs="Times New Roman"/>
          <w:bCs/>
          <w:caps/>
          <w:noProof/>
          <w:color w:val="000000" w:themeColor="text1"/>
          <w:sz w:val="20"/>
          <w:szCs w:val="20"/>
          <w:lang w:val="ro-RO" w:eastAsia="ru-RU"/>
        </w:rPr>
        <w:t>6</w:t>
      </w:r>
      <w:r w:rsidR="009858C6">
        <w:rPr>
          <w:rFonts w:ascii="Times New Roman" w:eastAsia="Times New Roman" w:hAnsi="Times New Roman" w:cs="Times New Roman"/>
          <w:bCs/>
          <w:caps/>
          <w:noProof/>
          <w:color w:val="000000" w:themeColor="text1"/>
          <w:sz w:val="20"/>
          <w:szCs w:val="20"/>
          <w:lang w:val="ro-RO" w:eastAsia="ru-RU"/>
        </w:rPr>
        <w:t>1</w:t>
      </w:r>
    </w:p>
    <w:p w:rsidR="00113A40" w:rsidRPr="00113A40" w:rsidRDefault="00113A40" w:rsidP="00113A40">
      <w:pPr>
        <w:rPr>
          <w:rFonts w:ascii="Times New Roman" w:eastAsia="Times New Roman" w:hAnsi="Times New Roman" w:cs="Times New Roman"/>
          <w:sz w:val="20"/>
          <w:szCs w:val="20"/>
          <w:lang w:val="ro-RO" w:eastAsia="ru-RU"/>
        </w:rPr>
      </w:pPr>
      <w:r w:rsidRPr="009D6E9F">
        <w:rPr>
          <w:rFonts w:ascii="Times New Roman" w:eastAsia="Times New Roman" w:hAnsi="Times New Roman" w:cs="Times New Roman"/>
          <w:sz w:val="20"/>
          <w:szCs w:val="20"/>
          <w:u w:val="single"/>
          <w:lang w:val="ro-RO" w:eastAsia="ru-RU"/>
        </w:rPr>
        <w:t>F.ASPECTELE MEDICO-ORGANIZAȚIONALE</w:t>
      </w:r>
      <w:r>
        <w:rPr>
          <w:rFonts w:ascii="Times New Roman" w:eastAsia="Times New Roman" w:hAnsi="Times New Roman" w:cs="Times New Roman"/>
          <w:sz w:val="20"/>
          <w:szCs w:val="20"/>
          <w:lang w:val="ro-RO" w:eastAsia="ru-RU"/>
        </w:rPr>
        <w:t>..............................................................................................6</w:t>
      </w:r>
      <w:r w:rsidR="009858C6">
        <w:rPr>
          <w:rFonts w:ascii="Times New Roman" w:eastAsia="Times New Roman" w:hAnsi="Times New Roman" w:cs="Times New Roman"/>
          <w:sz w:val="20"/>
          <w:szCs w:val="20"/>
          <w:lang w:val="ro-RO" w:eastAsia="ru-RU"/>
        </w:rPr>
        <w:t>3</w:t>
      </w:r>
    </w:p>
    <w:p w:rsidR="006F7FD8" w:rsidRPr="003D68D2" w:rsidRDefault="00875399" w:rsidP="006F7FD8">
      <w:pPr>
        <w:tabs>
          <w:tab w:val="right" w:leader="dot" w:pos="9016"/>
        </w:tabs>
        <w:spacing w:before="120" w:after="120"/>
        <w:rPr>
          <w:rFonts w:ascii="Times New Roman" w:eastAsia="Times New Roman" w:hAnsi="Times New Roman" w:cs="Times New Roman"/>
          <w:bCs/>
          <w:caps/>
          <w:noProof/>
          <w:color w:val="000000" w:themeColor="text1"/>
          <w:kern w:val="2"/>
          <w:sz w:val="20"/>
          <w:szCs w:val="20"/>
          <w:lang w:val="ro-RO" w:eastAsia="ro-RO"/>
        </w:rPr>
      </w:pPr>
      <w:hyperlink w:anchor="_Toc177994826" w:history="1">
        <w:r w:rsidR="006F7FD8" w:rsidRPr="003D68D2">
          <w:rPr>
            <w:rFonts w:ascii="Times New Roman" w:eastAsia="Times New Roman" w:hAnsi="Times New Roman" w:cs="Times New Roman"/>
            <w:bCs/>
            <w:noProof/>
            <w:color w:val="000000" w:themeColor="text1"/>
            <w:sz w:val="20"/>
            <w:szCs w:val="20"/>
            <w:u w:val="single"/>
            <w:lang w:val="ro-RO" w:eastAsia="ru-RU"/>
          </w:rPr>
          <w:t>ANEXE</w:t>
        </w:r>
        <w:r w:rsidR="006F7FD8" w:rsidRPr="003D68D2">
          <w:rPr>
            <w:rFonts w:ascii="Times New Roman" w:eastAsia="Times New Roman" w:hAnsi="Times New Roman" w:cs="Times New Roman"/>
            <w:bCs/>
            <w:noProof/>
            <w:webHidden/>
            <w:color w:val="000000" w:themeColor="text1"/>
            <w:sz w:val="20"/>
            <w:szCs w:val="20"/>
            <w:lang w:val="ro-RO" w:eastAsia="ru-RU"/>
          </w:rPr>
          <w:tab/>
        </w:r>
      </w:hyperlink>
      <w:r w:rsidR="009D6E9F">
        <w:rPr>
          <w:rFonts w:ascii="Times New Roman" w:eastAsia="Times New Roman" w:hAnsi="Times New Roman" w:cs="Times New Roman"/>
          <w:bCs/>
          <w:caps/>
          <w:noProof/>
          <w:color w:val="000000" w:themeColor="text1"/>
          <w:sz w:val="20"/>
          <w:szCs w:val="20"/>
          <w:lang w:val="ro-RO" w:eastAsia="ru-RU"/>
        </w:rPr>
        <w:t>6</w:t>
      </w:r>
      <w:r w:rsidR="009858C6">
        <w:rPr>
          <w:rFonts w:ascii="Times New Roman" w:eastAsia="Times New Roman" w:hAnsi="Times New Roman" w:cs="Times New Roman"/>
          <w:bCs/>
          <w:caps/>
          <w:noProof/>
          <w:color w:val="000000" w:themeColor="text1"/>
          <w:sz w:val="20"/>
          <w:szCs w:val="20"/>
          <w:lang w:val="ro-RO" w:eastAsia="ru-RU"/>
        </w:rPr>
        <w:t>6</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27" w:history="1">
        <w:r w:rsidR="006F7FD8" w:rsidRPr="003D68D2">
          <w:rPr>
            <w:rFonts w:ascii="Times New Roman" w:eastAsia="Times New Roman" w:hAnsi="Times New Roman" w:cs="Calibri"/>
            <w:smallCaps/>
            <w:noProof/>
            <w:color w:val="000000" w:themeColor="text1"/>
            <w:sz w:val="20"/>
            <w:szCs w:val="16"/>
            <w:u w:val="single"/>
            <w:lang w:val="ro-RO" w:eastAsia="ru-RU"/>
          </w:rPr>
          <w:t>ANEXA 1. GRADE DE RECOMANDARE ŞI NIVELE ALE DOVEZILOR</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9D6E9F">
        <w:rPr>
          <w:rFonts w:ascii="Times New Roman" w:eastAsia="Times New Roman" w:hAnsi="Times New Roman" w:cs="Calibri"/>
          <w:smallCaps/>
          <w:noProof/>
          <w:color w:val="000000" w:themeColor="text1"/>
          <w:sz w:val="20"/>
          <w:szCs w:val="16"/>
          <w:lang w:val="ro-RO" w:eastAsia="ru-RU"/>
        </w:rPr>
        <w:t>6</w:t>
      </w:r>
      <w:r w:rsidR="009858C6">
        <w:rPr>
          <w:rFonts w:ascii="Times New Roman" w:eastAsia="Times New Roman" w:hAnsi="Times New Roman" w:cs="Calibri"/>
          <w:smallCaps/>
          <w:noProof/>
          <w:color w:val="000000" w:themeColor="text1"/>
          <w:sz w:val="20"/>
          <w:szCs w:val="16"/>
          <w:lang w:val="ro-RO" w:eastAsia="ru-RU"/>
        </w:rPr>
        <w:t>6</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28" w:history="1">
        <w:r w:rsidR="006F7FD8" w:rsidRPr="003D68D2">
          <w:rPr>
            <w:rFonts w:ascii="Times New Roman" w:eastAsia="Times New Roman" w:hAnsi="Times New Roman" w:cs="Calibri"/>
            <w:smallCaps/>
            <w:noProof/>
            <w:color w:val="000000" w:themeColor="text1"/>
            <w:sz w:val="20"/>
            <w:szCs w:val="16"/>
            <w:u w:val="single"/>
            <w:lang w:val="ro-RO" w:eastAsia="ru-RU"/>
          </w:rPr>
          <w:t>ANEXA 2. GHIDUL PACIENTULUI</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9D6E9F">
        <w:rPr>
          <w:rFonts w:ascii="Times New Roman" w:eastAsia="Times New Roman" w:hAnsi="Times New Roman" w:cs="Calibri"/>
          <w:smallCaps/>
          <w:noProof/>
          <w:color w:val="000000" w:themeColor="text1"/>
          <w:sz w:val="20"/>
          <w:szCs w:val="16"/>
          <w:lang w:val="ro-RO" w:eastAsia="ru-RU"/>
        </w:rPr>
        <w:t>6</w:t>
      </w:r>
      <w:r w:rsidR="009858C6">
        <w:rPr>
          <w:rFonts w:ascii="Times New Roman" w:eastAsia="Times New Roman" w:hAnsi="Times New Roman" w:cs="Calibri"/>
          <w:smallCaps/>
          <w:noProof/>
          <w:color w:val="000000" w:themeColor="text1"/>
          <w:sz w:val="20"/>
          <w:szCs w:val="16"/>
          <w:lang w:val="ro-RO" w:eastAsia="ru-RU"/>
        </w:rPr>
        <w:t>6</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29" w:history="1">
        <w:r w:rsidR="006F7FD8" w:rsidRPr="003D68D2">
          <w:rPr>
            <w:rFonts w:ascii="Times New Roman" w:eastAsia="Times New Roman" w:hAnsi="Times New Roman" w:cs="Calibri"/>
            <w:smallCaps/>
            <w:noProof/>
            <w:color w:val="000000" w:themeColor="text1"/>
            <w:sz w:val="20"/>
            <w:szCs w:val="16"/>
            <w:u w:val="single"/>
            <w:lang w:val="ro-RO"/>
          </w:rPr>
          <w:t xml:space="preserve">ANEXA 3. </w:t>
        </w:r>
        <w:r w:rsidR="006F7FD8" w:rsidRPr="003D68D2">
          <w:rPr>
            <w:rFonts w:ascii="Times New Roman" w:eastAsia="Times New Roman" w:hAnsi="Times New Roman" w:cs="Calibri"/>
            <w:smallCaps/>
            <w:noProof/>
            <w:color w:val="000000" w:themeColor="text1"/>
            <w:sz w:val="20"/>
            <w:szCs w:val="16"/>
            <w:u w:val="single"/>
            <w:lang w:val="ro-RO" w:eastAsia="ru-RU"/>
          </w:rPr>
          <w:t>EVALUAREA INTERACȚIUNILOR MEDICAMENTOASE ÎNAINTE DE INIȚIEREA TERAPIEI ANTIVIRALE</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9858C6">
        <w:rPr>
          <w:rFonts w:ascii="Times New Roman" w:eastAsia="Times New Roman" w:hAnsi="Times New Roman" w:cs="Calibri"/>
          <w:smallCaps/>
          <w:noProof/>
          <w:color w:val="000000" w:themeColor="text1"/>
          <w:sz w:val="20"/>
          <w:szCs w:val="16"/>
          <w:lang w:val="ro-RO" w:eastAsia="ru-RU"/>
        </w:rPr>
        <w:t>68</w:t>
      </w:r>
    </w:p>
    <w:p w:rsidR="006F7FD8" w:rsidRPr="003D68D2" w:rsidRDefault="00875399" w:rsidP="006F7FD8">
      <w:pPr>
        <w:tabs>
          <w:tab w:val="right" w:leader="dot" w:pos="9016"/>
        </w:tabs>
        <w:spacing w:after="0"/>
        <w:ind w:left="200"/>
        <w:rPr>
          <w:rFonts w:ascii="Times New Roman" w:eastAsia="Times New Roman" w:hAnsi="Times New Roman" w:cs="Times New Roman"/>
          <w:noProof/>
          <w:color w:val="000000" w:themeColor="text1"/>
          <w:kern w:val="2"/>
          <w:sz w:val="20"/>
          <w:szCs w:val="20"/>
          <w:lang w:val="ro-RO" w:eastAsia="ro-RO"/>
        </w:rPr>
      </w:pPr>
      <w:hyperlink w:anchor="_Toc177994830" w:history="1">
        <w:r w:rsidR="006F7FD8" w:rsidRPr="003D68D2">
          <w:rPr>
            <w:rFonts w:ascii="Times New Roman" w:eastAsia="Times New Roman" w:hAnsi="Times New Roman" w:cs="Calibri"/>
            <w:smallCaps/>
            <w:noProof/>
            <w:color w:val="000000" w:themeColor="text1"/>
            <w:sz w:val="20"/>
            <w:szCs w:val="16"/>
            <w:u w:val="single"/>
            <w:lang w:val="ro-RO" w:eastAsia="ru-RU"/>
          </w:rPr>
          <w:t>ANEXA 4. FIŞA STANDARDIZATĂ DE AUDIT BAZAT PE CRITERII PENTRU PROTOCOLUL CLINIC NAŢIONAL IDP</w:t>
        </w:r>
        <w:r w:rsidR="006F7FD8" w:rsidRPr="003D68D2">
          <w:rPr>
            <w:rFonts w:ascii="Times New Roman" w:eastAsia="Times New Roman" w:hAnsi="Times New Roman" w:cs="Calibri"/>
            <w:smallCaps/>
            <w:noProof/>
            <w:webHidden/>
            <w:color w:val="000000" w:themeColor="text1"/>
            <w:sz w:val="20"/>
            <w:szCs w:val="16"/>
            <w:lang w:val="ro-RO" w:eastAsia="ru-RU"/>
          </w:rPr>
          <w:tab/>
        </w:r>
      </w:hyperlink>
      <w:r w:rsidR="009D6E9F">
        <w:rPr>
          <w:rFonts w:ascii="Times New Roman" w:eastAsia="Times New Roman" w:hAnsi="Times New Roman" w:cs="Calibri"/>
          <w:smallCaps/>
          <w:noProof/>
          <w:color w:val="000000" w:themeColor="text1"/>
          <w:sz w:val="20"/>
          <w:szCs w:val="16"/>
          <w:lang w:val="ro-RO" w:eastAsia="ru-RU"/>
        </w:rPr>
        <w:t>7</w:t>
      </w:r>
      <w:r w:rsidR="009858C6">
        <w:rPr>
          <w:rFonts w:ascii="Times New Roman" w:eastAsia="Times New Roman" w:hAnsi="Times New Roman" w:cs="Calibri"/>
          <w:smallCaps/>
          <w:noProof/>
          <w:color w:val="000000" w:themeColor="text1"/>
          <w:sz w:val="20"/>
          <w:szCs w:val="16"/>
          <w:lang w:val="ro-RO" w:eastAsia="ru-RU"/>
        </w:rPr>
        <w:t>4</w:t>
      </w:r>
    </w:p>
    <w:p w:rsidR="006F7FD8" w:rsidRPr="006F7FD8" w:rsidRDefault="006F7FD8" w:rsidP="006F7FD8">
      <w:pPr>
        <w:spacing w:before="100"/>
        <w:rPr>
          <w:rFonts w:ascii="Times New Roman" w:eastAsia="Times New Roman" w:hAnsi="Times New Roman" w:cs="Times New Roman"/>
          <w:b/>
          <w:bCs/>
          <w:sz w:val="20"/>
          <w:szCs w:val="16"/>
          <w:lang w:val="ro-RO" w:eastAsia="ru-RU"/>
        </w:rPr>
      </w:pPr>
      <w:r w:rsidRPr="003D68D2">
        <w:rPr>
          <w:rFonts w:ascii="Times New Roman" w:eastAsia="Times New Roman" w:hAnsi="Times New Roman" w:cs="Times New Roman"/>
          <w:b/>
          <w:bCs/>
          <w:color w:val="000000" w:themeColor="text1"/>
          <w:sz w:val="20"/>
          <w:szCs w:val="16"/>
          <w:lang w:val="ro-RO" w:eastAsia="ru-RU"/>
        </w:rPr>
        <w:fldChar w:fldCharType="end"/>
      </w:r>
    </w:p>
    <w:p w:rsidR="00985282" w:rsidRPr="006F7FD8" w:rsidRDefault="006F7FD8" w:rsidP="006F7FD8">
      <w:pPr>
        <w:rPr>
          <w:rFonts w:ascii="Times New Roman" w:hAnsi="Times New Roman" w:cs="Times New Roman"/>
          <w:sz w:val="24"/>
          <w:szCs w:val="24"/>
          <w:lang w:val="en-US"/>
        </w:rPr>
      </w:pPr>
      <w:r w:rsidRPr="006F7FD8">
        <w:rPr>
          <w:rFonts w:ascii="Times New Roman" w:eastAsia="Times New Roman" w:hAnsi="Times New Roman" w:cs="Times New Roman"/>
          <w:sz w:val="24"/>
          <w:szCs w:val="20"/>
          <w:lang w:val="ro-RO" w:eastAsia="ru-RU"/>
        </w:rPr>
        <w:br w:type="page"/>
      </w:r>
    </w:p>
    <w:p w:rsidR="00C50ADD" w:rsidRPr="00C50ADD" w:rsidRDefault="00C50ADD" w:rsidP="00C50ADD">
      <w:pPr>
        <w:spacing w:before="100"/>
        <w:rPr>
          <w:rFonts w:ascii="Times New Roman" w:eastAsia="Times New Roman" w:hAnsi="Times New Roman" w:cs="Times New Roman"/>
          <w:b/>
          <w:bCs/>
          <w:sz w:val="24"/>
          <w:szCs w:val="20"/>
          <w:lang w:val="ro-RO" w:eastAsia="ru-RU"/>
        </w:rPr>
      </w:pPr>
      <w:r w:rsidRPr="00C50ADD">
        <w:rPr>
          <w:rFonts w:ascii="Times New Roman" w:eastAsia="Times New Roman" w:hAnsi="Times New Roman" w:cs="Times New Roman"/>
          <w:b/>
          <w:bCs/>
          <w:sz w:val="24"/>
          <w:szCs w:val="20"/>
          <w:lang w:val="ro-RO" w:eastAsia="ru-RU"/>
        </w:rPr>
        <w:lastRenderedPageBreak/>
        <w:t>Abrevierile folosite în document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7320"/>
      </w:tblGrid>
      <w:tr w:rsidR="00C50ADD" w:rsidRPr="00D645AA" w:rsidTr="00C50ADD">
        <w:tc>
          <w:tcPr>
            <w:tcW w:w="1040" w:type="pct"/>
          </w:tcPr>
          <w:p w:rsidR="00C50ADD" w:rsidRPr="00C50ADD" w:rsidRDefault="00C50ADD" w:rsidP="00C50ADD">
            <w:pPr>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AASLD</w:t>
            </w:r>
          </w:p>
        </w:tc>
        <w:tc>
          <w:tcPr>
            <w:tcW w:w="3960" w:type="pct"/>
          </w:tcPr>
          <w:p w:rsidR="00C50ADD" w:rsidRPr="00C50ADD" w:rsidRDefault="00C50ADD" w:rsidP="00C50ADD">
            <w:pPr>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Asociaţia Americană pentru Studiul Bolilor Ficatului </w:t>
            </w:r>
            <w:r w:rsidRPr="00C50ADD">
              <w:rPr>
                <w:rFonts w:ascii="Times New Roman" w:eastAsia="Times New Roman" w:hAnsi="Times New Roman" w:cs="Times New Roman"/>
                <w:i/>
                <w:sz w:val="24"/>
                <w:szCs w:val="24"/>
                <w:lang w:val="ro-RO" w:eastAsia="ru-RU"/>
              </w:rPr>
              <w:t>(American Association for the Study of the Liver Diseases)</w:t>
            </w:r>
            <w:r w:rsidRPr="00C50ADD">
              <w:rPr>
                <w:rFonts w:ascii="Times New Roman" w:eastAsia="Times New Roman" w:hAnsi="Times New Roman" w:cs="Times New Roman"/>
                <w:sz w:val="24"/>
                <w:szCs w:val="24"/>
                <w:lang w:val="ro-RO" w:eastAsia="ru-RU"/>
              </w:rPr>
              <w:t xml:space="preserve">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Ac</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Ac anti-r-TSH</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anticorpi antireceptor pentru hormonul tireostimulator</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ADN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acid dezoxiribonucleic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AFP</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alfa fetoproteina</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ARFI</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impuls de forță de radiație acustică (</w:t>
            </w:r>
            <w:r w:rsidRPr="00C50ADD">
              <w:rPr>
                <w:rFonts w:ascii="Times New Roman" w:eastAsia="Times New Roman" w:hAnsi="Times New Roman" w:cs="Times New Roman"/>
                <w:i/>
                <w:iCs/>
                <w:sz w:val="24"/>
                <w:szCs w:val="24"/>
                <w:lang w:val="ro-RO" w:eastAsia="ru-RU"/>
              </w:rPr>
              <w:t>acoustic radiation force impulse)</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ALT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alaninaminotransferază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AMA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anticorpi antimitocondriali (</w:t>
            </w:r>
            <w:r w:rsidRPr="00C50ADD">
              <w:rPr>
                <w:rFonts w:ascii="Times New Roman" w:eastAsia="Times New Roman" w:hAnsi="Times New Roman" w:cs="Times New Roman"/>
                <w:i/>
                <w:iCs/>
                <w:sz w:val="24"/>
                <w:szCs w:val="24"/>
                <w:lang w:val="ro-RO" w:eastAsia="ru-RU"/>
              </w:rPr>
              <w:t>antimitochondrial antibodies</w:t>
            </w:r>
            <w:r w:rsidRPr="00C50ADD">
              <w:rPr>
                <w:rFonts w:ascii="Times New Roman" w:eastAsia="Times New Roman" w:hAnsi="Times New Roman" w:cs="Times New Roman"/>
                <w:sz w:val="24"/>
                <w:szCs w:val="24"/>
                <w:lang w:val="ro-RO" w:eastAsia="ru-RU"/>
              </w:rPr>
              <w:t xml:space="preserve">)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ANA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anticorpi antinucleari (</w:t>
            </w:r>
            <w:r w:rsidRPr="00C50ADD">
              <w:rPr>
                <w:rFonts w:ascii="Times New Roman" w:eastAsia="Times New Roman" w:hAnsi="Times New Roman" w:cs="Times New Roman"/>
                <w:i/>
                <w:iCs/>
                <w:sz w:val="24"/>
                <w:szCs w:val="24"/>
                <w:lang w:val="ro-RO" w:eastAsia="ru-RU"/>
              </w:rPr>
              <w:t>antinuclear antibodies</w:t>
            </w:r>
            <w:r w:rsidRPr="00C50ADD">
              <w:rPr>
                <w:rFonts w:ascii="Times New Roman" w:eastAsia="Times New Roman" w:hAnsi="Times New Roman" w:cs="Times New Roman"/>
                <w:sz w:val="24"/>
                <w:szCs w:val="24"/>
                <w:lang w:val="ro-RO" w:eastAsia="ru-RU"/>
              </w:rPr>
              <w:t xml:space="preserve">)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APRI</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indice de raport aspartat aminotransferază la trombocite</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AgHBc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antigenul </w:t>
            </w:r>
            <w:r w:rsidRPr="00C50ADD">
              <w:rPr>
                <w:rFonts w:ascii="Times New Roman" w:eastAsia="Times New Roman" w:hAnsi="Times New Roman" w:cs="Times New Roman"/>
                <w:i/>
                <w:iCs/>
                <w:sz w:val="24"/>
                <w:szCs w:val="24"/>
                <w:lang w:val="ro-RO" w:eastAsia="ru-RU"/>
              </w:rPr>
              <w:t xml:space="preserve">cor </w:t>
            </w:r>
            <w:r w:rsidRPr="00C50ADD">
              <w:rPr>
                <w:rFonts w:ascii="Times New Roman" w:eastAsia="Times New Roman" w:hAnsi="Times New Roman" w:cs="Times New Roman"/>
                <w:sz w:val="24"/>
                <w:szCs w:val="24"/>
                <w:lang w:val="ro-RO" w:eastAsia="ru-RU"/>
              </w:rPr>
              <w:t xml:space="preserve">(c) al virusului hepatitei B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AgHBe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antigenul </w:t>
            </w:r>
            <w:r w:rsidRPr="00C50ADD">
              <w:rPr>
                <w:rFonts w:ascii="Times New Roman" w:eastAsia="Times New Roman" w:hAnsi="Times New Roman" w:cs="Times New Roman"/>
                <w:i/>
                <w:iCs/>
                <w:sz w:val="24"/>
                <w:szCs w:val="24"/>
                <w:lang w:val="ro-RO" w:eastAsia="ru-RU"/>
              </w:rPr>
              <w:t xml:space="preserve">e </w:t>
            </w:r>
            <w:r w:rsidRPr="00C50ADD">
              <w:rPr>
                <w:rFonts w:ascii="Times New Roman" w:eastAsia="Times New Roman" w:hAnsi="Times New Roman" w:cs="Times New Roman"/>
                <w:sz w:val="24"/>
                <w:szCs w:val="24"/>
                <w:lang w:val="ro-RO" w:eastAsia="ru-RU"/>
              </w:rPr>
              <w:t>al virusului hepatitei B (</w:t>
            </w:r>
            <w:r w:rsidRPr="00C50ADD">
              <w:rPr>
                <w:rFonts w:ascii="Times New Roman" w:eastAsia="Times New Roman" w:hAnsi="Times New Roman" w:cs="Times New Roman"/>
                <w:i/>
                <w:iCs/>
                <w:sz w:val="24"/>
                <w:szCs w:val="24"/>
                <w:lang w:val="ro-RO" w:eastAsia="ru-RU"/>
              </w:rPr>
              <w:t>antigen de infecţiozitate</w:t>
            </w:r>
            <w:r w:rsidRPr="00C50ADD">
              <w:rPr>
                <w:rFonts w:ascii="Times New Roman" w:eastAsia="Times New Roman" w:hAnsi="Times New Roman" w:cs="Times New Roman"/>
                <w:sz w:val="24"/>
                <w:szCs w:val="24"/>
                <w:lang w:val="ro-RO" w:eastAsia="ru-RU"/>
              </w:rPr>
              <w:t xml:space="preserve">)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AgHBs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antigenul de suprafață (</w:t>
            </w:r>
            <w:r w:rsidRPr="00C50ADD">
              <w:rPr>
                <w:rFonts w:ascii="Times New Roman" w:eastAsia="Times New Roman" w:hAnsi="Times New Roman" w:cs="Times New Roman"/>
                <w:i/>
                <w:iCs/>
                <w:sz w:val="24"/>
                <w:szCs w:val="24"/>
                <w:lang w:val="ro-RO" w:eastAsia="ru-RU"/>
              </w:rPr>
              <w:t>s</w:t>
            </w:r>
            <w:r w:rsidRPr="00C50ADD">
              <w:rPr>
                <w:rFonts w:ascii="Times New Roman" w:eastAsia="Times New Roman" w:hAnsi="Times New Roman" w:cs="Times New Roman"/>
                <w:sz w:val="24"/>
                <w:szCs w:val="24"/>
                <w:lang w:val="ro-RO" w:eastAsia="ru-RU"/>
              </w:rPr>
              <w:t xml:space="preserve">) al virusului hepatitei B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anti-HBc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antigenul </w:t>
            </w:r>
            <w:r w:rsidRPr="00C50ADD">
              <w:rPr>
                <w:rFonts w:ascii="Times New Roman" w:eastAsia="Times New Roman" w:hAnsi="Times New Roman" w:cs="Times New Roman"/>
                <w:i/>
                <w:iCs/>
                <w:sz w:val="24"/>
                <w:szCs w:val="24"/>
                <w:lang w:val="ro-RO" w:eastAsia="ru-RU"/>
              </w:rPr>
              <w:t xml:space="preserve">core </w:t>
            </w:r>
            <w:r w:rsidRPr="00C50ADD">
              <w:rPr>
                <w:rFonts w:ascii="Times New Roman" w:eastAsia="Times New Roman" w:hAnsi="Times New Roman" w:cs="Times New Roman"/>
                <w:sz w:val="24"/>
                <w:szCs w:val="24"/>
                <w:lang w:val="ro-RO" w:eastAsia="ru-RU"/>
              </w:rPr>
              <w:t xml:space="preserve">al VHB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anti-HBc Ig M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antigenul </w:t>
            </w:r>
            <w:r w:rsidRPr="00C50ADD">
              <w:rPr>
                <w:rFonts w:ascii="Times New Roman" w:eastAsia="Times New Roman" w:hAnsi="Times New Roman" w:cs="Times New Roman"/>
                <w:i/>
                <w:iCs/>
                <w:sz w:val="24"/>
                <w:szCs w:val="24"/>
                <w:lang w:val="ro-RO" w:eastAsia="ru-RU"/>
              </w:rPr>
              <w:t xml:space="preserve">core </w:t>
            </w:r>
            <w:r w:rsidRPr="00C50ADD">
              <w:rPr>
                <w:rFonts w:ascii="Times New Roman" w:eastAsia="Times New Roman" w:hAnsi="Times New Roman" w:cs="Times New Roman"/>
                <w:sz w:val="24"/>
                <w:szCs w:val="24"/>
                <w:lang w:val="ro-RO" w:eastAsia="ru-RU"/>
              </w:rPr>
              <w:t xml:space="preserve">al VHB, clasa imunoglobulină M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anti-HBe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antigenul </w:t>
            </w:r>
            <w:r w:rsidRPr="00C50ADD">
              <w:rPr>
                <w:rFonts w:ascii="Times New Roman" w:eastAsia="Times New Roman" w:hAnsi="Times New Roman" w:cs="Times New Roman"/>
                <w:i/>
                <w:iCs/>
                <w:sz w:val="24"/>
                <w:szCs w:val="24"/>
                <w:lang w:val="ro-RO" w:eastAsia="ru-RU"/>
              </w:rPr>
              <w:t xml:space="preserve">e </w:t>
            </w:r>
            <w:r w:rsidRPr="00C50ADD">
              <w:rPr>
                <w:rFonts w:ascii="Times New Roman" w:eastAsia="Times New Roman" w:hAnsi="Times New Roman" w:cs="Times New Roman"/>
                <w:sz w:val="24"/>
                <w:szCs w:val="24"/>
                <w:lang w:val="ro-RO" w:eastAsia="ru-RU"/>
              </w:rPr>
              <w:t xml:space="preserve">al VHB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anti-HBs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antigenul </w:t>
            </w:r>
            <w:r w:rsidRPr="00C50ADD">
              <w:rPr>
                <w:rFonts w:ascii="Times New Roman" w:eastAsia="Times New Roman" w:hAnsi="Times New Roman" w:cs="Times New Roman"/>
                <w:i/>
                <w:iCs/>
                <w:sz w:val="24"/>
                <w:szCs w:val="24"/>
                <w:lang w:val="ro-RO" w:eastAsia="ru-RU"/>
              </w:rPr>
              <w:t xml:space="preserve">s </w:t>
            </w:r>
            <w:r w:rsidRPr="00C50ADD">
              <w:rPr>
                <w:rFonts w:ascii="Times New Roman" w:eastAsia="Times New Roman" w:hAnsi="Times New Roman" w:cs="Times New Roman"/>
                <w:sz w:val="24"/>
                <w:szCs w:val="24"/>
                <w:lang w:val="ro-RO" w:eastAsia="ru-RU"/>
              </w:rPr>
              <w:t xml:space="preserve">al VHB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anti-HCV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virusul hepatitei C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anti-HCV Ig M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virusul hepatitei C, clasa imunoglobulina M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anti-VHD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virusul hepatitei D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anti-VHD Ig M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virusul hepatitei D, clasa imunoglobulina M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anti-LKM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anti-microsomali ficat/rinichi </w:t>
            </w:r>
            <w:r w:rsidRPr="00C50ADD">
              <w:rPr>
                <w:rFonts w:ascii="Times New Roman" w:eastAsia="Times New Roman" w:hAnsi="Times New Roman" w:cs="Times New Roman"/>
                <w:i/>
                <w:iCs/>
                <w:sz w:val="24"/>
                <w:szCs w:val="24"/>
                <w:lang w:val="ro-RO" w:eastAsia="ru-RU"/>
              </w:rPr>
              <w:t xml:space="preserve">(antibodies to liver/kidney microsome)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anti-VHS 1, 2 Ig G sau Ig M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virusul </w:t>
            </w:r>
            <w:r w:rsidRPr="00C50ADD">
              <w:rPr>
                <w:rFonts w:ascii="Times New Roman" w:eastAsia="Times New Roman" w:hAnsi="Times New Roman" w:cs="Times New Roman"/>
                <w:i/>
                <w:iCs/>
                <w:sz w:val="24"/>
                <w:szCs w:val="24"/>
                <w:lang w:val="ro-RO" w:eastAsia="ru-RU"/>
              </w:rPr>
              <w:t xml:space="preserve">herpes simplex, </w:t>
            </w:r>
            <w:r w:rsidRPr="00C50ADD">
              <w:rPr>
                <w:rFonts w:ascii="Times New Roman" w:eastAsia="Times New Roman" w:hAnsi="Times New Roman" w:cs="Times New Roman"/>
                <w:sz w:val="24"/>
                <w:szCs w:val="24"/>
                <w:lang w:val="ro-RO" w:eastAsia="ru-RU"/>
              </w:rPr>
              <w:t xml:space="preserve">tipurile 1, 2, clasa imunoglobulina G sau clasa imunoglobulina M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anti-VCM Ig G sau Ig M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anticorpi către virusul citomegalic, clasa imunoglobulina G sau clasa imunoglobulina M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ARN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acid ribonucleic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AST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aspartataminotransferază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AMP</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Asistență Medicală Primară</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AMSA</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Asistență Medicală Specializată de Ambulator</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AMS</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Asistență Medicală Spitalicească</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CH</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ciroză hepatică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CT</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tomografie computerizată</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DAA</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 xml:space="preserve">antivirale cu actiune directă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DDI</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interacțiunea medicament-medicament</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DSV</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Dasabuvirum*</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EBR</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Elbasvirum*</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ECG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electrocardiogramă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EOT</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sfârșitul tratamentului (end of treatment)</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EIA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analiza imunoenzimatică (</w:t>
            </w:r>
            <w:r w:rsidRPr="00C50ADD">
              <w:rPr>
                <w:rFonts w:ascii="Times New Roman" w:eastAsia="Times New Roman" w:hAnsi="Times New Roman" w:cs="Times New Roman"/>
                <w:i/>
                <w:iCs/>
                <w:sz w:val="24"/>
                <w:szCs w:val="24"/>
                <w:lang w:val="ro-RO" w:eastAsia="ru-RU"/>
              </w:rPr>
              <w:t>enzyme-linked immunosorbent assay</w:t>
            </w:r>
            <w:r w:rsidRPr="00C50ADD">
              <w:rPr>
                <w:rFonts w:ascii="Times New Roman" w:eastAsia="Times New Roman" w:hAnsi="Times New Roman" w:cs="Times New Roman"/>
                <w:sz w:val="24"/>
                <w:szCs w:val="24"/>
                <w:lang w:val="ro-RO" w:eastAsia="ru-RU"/>
              </w:rPr>
              <w:t xml:space="preserve">)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EDS</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endoscopie digestivă superioară</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eGFR</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rata estimată de filtrare glomerulară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FA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fosfatază alcalină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GLE</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Glecaprevirum*</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GGTP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gamaglutamiltranspeptidaza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GZR</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Grazoprevirum*</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HVC C</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Hepatită virală C cronică</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lastRenderedPageBreak/>
              <w:t>HCC</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carcinom hepatocelular (</w:t>
            </w:r>
            <w:r w:rsidRPr="00C50ADD">
              <w:rPr>
                <w:rFonts w:ascii="Times New Roman" w:eastAsia="Times New Roman" w:hAnsi="Times New Roman" w:cs="Times New Roman"/>
                <w:i/>
                <w:sz w:val="24"/>
                <w:szCs w:val="24"/>
                <w:lang w:val="ro-RO" w:eastAsia="ru-RU"/>
              </w:rPr>
              <w:t>hepatocellular carcinoma</w:t>
            </w:r>
            <w:r w:rsidRPr="00C50ADD">
              <w:rPr>
                <w:rFonts w:ascii="Times New Roman" w:eastAsia="Times New Roman" w:hAnsi="Times New Roman" w:cs="Times New Roman"/>
                <w:sz w:val="24"/>
                <w:szCs w:val="24"/>
                <w:lang w:val="ro-RO" w:eastAsia="ru-RU"/>
              </w:rPr>
              <w:t>)</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HDLC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colesterolul lipoproteine cu densitate înaltă (</w:t>
            </w:r>
            <w:r w:rsidRPr="00C50ADD">
              <w:rPr>
                <w:rFonts w:ascii="Times New Roman" w:eastAsia="Times New Roman" w:hAnsi="Times New Roman" w:cs="Times New Roman"/>
                <w:i/>
                <w:iCs/>
                <w:sz w:val="24"/>
                <w:szCs w:val="24"/>
                <w:lang w:val="ro-RO" w:eastAsia="ru-RU"/>
              </w:rPr>
              <w:t xml:space="preserve">high density lipoprotein cholesterol)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HIV</w:t>
            </w:r>
          </w:p>
        </w:tc>
        <w:tc>
          <w:tcPr>
            <w:tcW w:w="3960" w:type="pct"/>
          </w:tcPr>
          <w:p w:rsidR="00C50ADD" w:rsidRPr="00C50ADD" w:rsidRDefault="00C50ADD" w:rsidP="00C50ADD">
            <w:pPr>
              <w:spacing w:after="0" w:line="240" w:lineRule="auto"/>
              <w:jc w:val="both"/>
              <w:rPr>
                <w:rFonts w:ascii="Times New Roman" w:eastAsia="Times New Roman" w:hAnsi="Times New Roman" w:cs="Times New Roman"/>
                <w:b/>
                <w:sz w:val="24"/>
                <w:szCs w:val="24"/>
                <w:lang w:val="ro-RO" w:eastAsia="ru-RU"/>
              </w:rPr>
            </w:pPr>
            <w:r w:rsidRPr="00C50ADD">
              <w:rPr>
                <w:rFonts w:ascii="Times New Roman" w:eastAsia="Times New Roman" w:hAnsi="Times New Roman" w:cs="Times New Roman"/>
                <w:sz w:val="24"/>
                <w:szCs w:val="24"/>
                <w:lang w:val="ro-RO" w:eastAsia="ru-RU"/>
              </w:rPr>
              <w:t>virusul imunodeficienței umane</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IDP</w:t>
            </w:r>
          </w:p>
        </w:tc>
        <w:tc>
          <w:tcPr>
            <w:tcW w:w="3960" w:type="pct"/>
          </w:tcPr>
          <w:p w:rsidR="00C50ADD" w:rsidRPr="00C50ADD" w:rsidRDefault="00C50ADD" w:rsidP="00C50ADD">
            <w:pPr>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Imunodeficiența primară</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IFN</w:t>
            </w:r>
          </w:p>
        </w:tc>
        <w:tc>
          <w:tcPr>
            <w:tcW w:w="3960" w:type="pct"/>
          </w:tcPr>
          <w:p w:rsidR="00C50ADD" w:rsidRPr="00C50ADD" w:rsidRDefault="00C50ADD" w:rsidP="00C50ADD">
            <w:pPr>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sz w:val="24"/>
                <w:szCs w:val="24"/>
                <w:lang w:val="ro-RO" w:eastAsia="ru-RU"/>
              </w:rPr>
              <w:t>interferon</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INR</w:t>
            </w:r>
          </w:p>
        </w:tc>
        <w:tc>
          <w:tcPr>
            <w:tcW w:w="3960" w:type="pct"/>
          </w:tcPr>
          <w:p w:rsidR="00C50ADD" w:rsidRPr="00C50ADD" w:rsidRDefault="00C50ADD" w:rsidP="00C50ADD">
            <w:pPr>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Raport internațional normalizat (</w:t>
            </w:r>
            <w:r w:rsidRPr="00C50ADD">
              <w:rPr>
                <w:rFonts w:ascii="Times New Roman" w:eastAsia="Times New Roman" w:hAnsi="Times New Roman" w:cs="Times New Roman"/>
                <w:i/>
                <w:iCs/>
                <w:sz w:val="24"/>
                <w:szCs w:val="24"/>
                <w:lang w:val="ro-RO" w:eastAsia="ru-RU"/>
              </w:rPr>
              <w:t>International Normalizated Ratio</w:t>
            </w:r>
            <w:r w:rsidRPr="00C50ADD">
              <w:rPr>
                <w:rFonts w:ascii="Times New Roman" w:eastAsia="Times New Roman" w:hAnsi="Times New Roman" w:cs="Times New Roman"/>
                <w:sz w:val="24"/>
                <w:szCs w:val="24"/>
                <w:lang w:val="ro-RO" w:eastAsia="ru-RU"/>
              </w:rPr>
              <w:t>)</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Ig M </w:t>
            </w:r>
          </w:p>
        </w:tc>
        <w:tc>
          <w:tcPr>
            <w:tcW w:w="3960" w:type="pct"/>
          </w:tcPr>
          <w:p w:rsidR="00C50ADD" w:rsidRPr="00C50ADD" w:rsidRDefault="00C50ADD" w:rsidP="00C50ADD">
            <w:pPr>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imunoglobulina M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Ig G </w:t>
            </w:r>
          </w:p>
        </w:tc>
        <w:tc>
          <w:tcPr>
            <w:tcW w:w="3960" w:type="pct"/>
          </w:tcPr>
          <w:p w:rsidR="00C50ADD" w:rsidRPr="00C50ADD" w:rsidRDefault="00C50ADD" w:rsidP="00C50ADD">
            <w:pPr>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imunoglobulina G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LDLC </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colesterolul lipoproteine cu densitate joasă (</w:t>
            </w:r>
            <w:r w:rsidRPr="00C50ADD">
              <w:rPr>
                <w:rFonts w:ascii="Times New Roman" w:eastAsia="Times New Roman" w:hAnsi="Times New Roman" w:cs="Times New Roman"/>
                <w:i/>
                <w:iCs/>
                <w:sz w:val="24"/>
                <w:szCs w:val="24"/>
                <w:lang w:val="ro-RO" w:eastAsia="ru-RU"/>
              </w:rPr>
              <w:t>low density lipoprotein cholesterol</w:t>
            </w:r>
            <w:r w:rsidRPr="00C50ADD">
              <w:rPr>
                <w:rFonts w:ascii="Times New Roman" w:eastAsia="Times New Roman" w:hAnsi="Times New Roman" w:cs="Times New Roman"/>
                <w:sz w:val="24"/>
                <w:szCs w:val="24"/>
                <w:lang w:val="ro-RO" w:eastAsia="ru-RU"/>
              </w:rPr>
              <w:t xml:space="preserve">)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LDV</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Ledipasvirum*</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MELD</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i/>
                <w:iCs/>
                <w:sz w:val="24"/>
                <w:szCs w:val="24"/>
                <w:lang w:val="ro-RO" w:eastAsia="ru-RU"/>
              </w:rPr>
              <w:t>Model pentru afecțiuni Hepatice în stadiu final</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NA</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analog de nucleos (t) id</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N</w:t>
            </w:r>
            <w:r w:rsidRPr="00C50ADD">
              <w:rPr>
                <w:rFonts w:ascii="Times New Roman" w:eastAsia="Times New Roman" w:hAnsi="Times New Roman" w:cs="Times New Roman"/>
                <w:sz w:val="24"/>
                <w:szCs w:val="24"/>
                <w:lang w:val="ro-RO" w:eastAsia="ru-RU"/>
              </w:rPr>
              <w:t>AT</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color w:val="232323"/>
                <w:sz w:val="24"/>
                <w:szCs w:val="24"/>
                <w:lang w:val="ro-RO" w:eastAsia="ru-RU"/>
              </w:rPr>
              <w:t>test de acid nucleic</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PCR </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reacţie de polimerizare în lanţ (</w:t>
            </w:r>
            <w:r w:rsidRPr="00C50ADD">
              <w:rPr>
                <w:rFonts w:ascii="Times New Roman" w:eastAsia="Times New Roman" w:hAnsi="Times New Roman" w:cs="Times New Roman"/>
                <w:i/>
                <w:iCs/>
                <w:sz w:val="24"/>
                <w:szCs w:val="24"/>
                <w:lang w:val="ro-RO" w:eastAsia="ru-RU"/>
              </w:rPr>
              <w:t>polimiraze change reaction</w:t>
            </w:r>
            <w:r w:rsidRPr="00C50ADD">
              <w:rPr>
                <w:rFonts w:ascii="Times New Roman" w:eastAsia="Times New Roman" w:hAnsi="Times New Roman" w:cs="Times New Roman"/>
                <w:sz w:val="24"/>
                <w:szCs w:val="24"/>
                <w:lang w:val="ro-RO" w:eastAsia="ru-RU"/>
              </w:rPr>
              <w:t>)</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PIB</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pibrentasvirum</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PTE</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pacient cu experiență de tratament</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pSWE</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elastografie cu undă de forfecare (</w:t>
            </w:r>
            <w:r w:rsidRPr="00C50ADD">
              <w:rPr>
                <w:rFonts w:ascii="Times New Roman" w:eastAsia="Times New Roman" w:hAnsi="Times New Roman" w:cs="Times New Roman"/>
                <w:i/>
                <w:iCs/>
                <w:sz w:val="24"/>
                <w:szCs w:val="24"/>
                <w:lang w:val="ro-RO" w:eastAsia="ru-RU"/>
              </w:rPr>
              <w:t>point shear wave elastography</w:t>
            </w:r>
            <w:r w:rsidRPr="00C50ADD">
              <w:rPr>
                <w:rFonts w:ascii="Times New Roman" w:eastAsia="Times New Roman" w:hAnsi="Times New Roman" w:cs="Times New Roman"/>
                <w:sz w:val="24"/>
                <w:szCs w:val="24"/>
                <w:lang w:val="ro-RO" w:eastAsia="ru-RU"/>
              </w:rPr>
              <w:t>)</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2-D SWE</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elastografie în undă forfecată (</w:t>
            </w:r>
            <w:r w:rsidRPr="00C50ADD">
              <w:rPr>
                <w:rFonts w:ascii="Times New Roman" w:eastAsia="Times New Roman" w:hAnsi="Times New Roman" w:cs="Times New Roman"/>
                <w:i/>
                <w:iCs/>
                <w:sz w:val="24"/>
                <w:szCs w:val="24"/>
                <w:lang w:val="ro-RO" w:eastAsia="ru-RU"/>
              </w:rPr>
              <w:t>two-dimensional shear wave elastography</w:t>
            </w:r>
            <w:r w:rsidRPr="00C50ADD">
              <w:rPr>
                <w:rFonts w:ascii="Times New Roman" w:eastAsia="Times New Roman" w:hAnsi="Times New Roman" w:cs="Times New Roman"/>
                <w:sz w:val="24"/>
                <w:szCs w:val="24"/>
                <w:lang w:val="ro-RO" w:eastAsia="ru-RU"/>
              </w:rPr>
              <w:t>)</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 xml:space="preserve">RAS </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substituție asociată rezistenței</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kern w:val="24"/>
                <w:sz w:val="24"/>
                <w:szCs w:val="24"/>
                <w:lang w:val="ro-RO" w:eastAsia="ru-RU"/>
              </w:rPr>
              <w:t>TRD</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kern w:val="24"/>
                <w:sz w:val="24"/>
                <w:szCs w:val="24"/>
                <w:lang w:val="ro-RO" w:eastAsia="ru-RU"/>
              </w:rPr>
              <w:t xml:space="preserve">Test rapid de diagnostic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RIBA </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analiza prin imunoblot recombinant (</w:t>
            </w:r>
            <w:r w:rsidRPr="00C50ADD">
              <w:rPr>
                <w:rFonts w:ascii="Times New Roman" w:eastAsia="Times New Roman" w:hAnsi="Times New Roman" w:cs="Times New Roman"/>
                <w:i/>
                <w:iCs/>
                <w:sz w:val="24"/>
                <w:szCs w:val="24"/>
                <w:lang w:val="ro-RO" w:eastAsia="ru-RU"/>
              </w:rPr>
              <w:t>recombinant immunoblot assay</w:t>
            </w:r>
            <w:r w:rsidRPr="00C50ADD">
              <w:rPr>
                <w:rFonts w:ascii="Times New Roman" w:eastAsia="Times New Roman" w:hAnsi="Times New Roman" w:cs="Times New Roman"/>
                <w:sz w:val="24"/>
                <w:szCs w:val="24"/>
                <w:lang w:val="ro-RO" w:eastAsia="ru-RU"/>
              </w:rPr>
              <w:t xml:space="preserve">)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Scorul FIB-4</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 xml:space="preserve">scor de estimare neinvazivă a fibrozei hepatice </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SE</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elastografie de tulpină (</w:t>
            </w:r>
            <w:r w:rsidRPr="00C50ADD">
              <w:rPr>
                <w:rFonts w:ascii="Times New Roman" w:eastAsia="Times New Roman" w:hAnsi="Times New Roman" w:cs="Times New Roman"/>
                <w:i/>
                <w:iCs/>
                <w:sz w:val="24"/>
                <w:szCs w:val="24"/>
                <w:lang w:val="ro-RO" w:eastAsia="ru-RU"/>
              </w:rPr>
              <w:t>strain elastography)</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SMA </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anticorpi antifibră musculară netedă (</w:t>
            </w:r>
            <w:r w:rsidRPr="00C50ADD">
              <w:rPr>
                <w:rFonts w:ascii="Times New Roman" w:eastAsia="Times New Roman" w:hAnsi="Times New Roman" w:cs="Times New Roman"/>
                <w:i/>
                <w:iCs/>
                <w:sz w:val="24"/>
                <w:szCs w:val="24"/>
                <w:lang w:val="ro-RO" w:eastAsia="ru-RU"/>
              </w:rPr>
              <w:t>smooth muscle antibodies</w:t>
            </w:r>
            <w:r w:rsidRPr="00C50ADD">
              <w:rPr>
                <w:rFonts w:ascii="Times New Roman" w:eastAsia="Times New Roman" w:hAnsi="Times New Roman" w:cs="Times New Roman"/>
                <w:sz w:val="24"/>
                <w:szCs w:val="24"/>
                <w:lang w:val="ro-RO" w:eastAsia="ru-RU"/>
              </w:rPr>
              <w:t>)</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SOF</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Sofosbuvirum*</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SVR</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bookmarkStart w:id="1" w:name="_Hlk169603481"/>
            <w:r w:rsidRPr="00C50ADD">
              <w:rPr>
                <w:rFonts w:ascii="Times New Roman" w:eastAsia="Times New Roman" w:hAnsi="Times New Roman" w:cs="Times New Roman"/>
                <w:bCs/>
                <w:sz w:val="24"/>
                <w:szCs w:val="24"/>
                <w:lang w:val="ro-RO" w:eastAsia="ru-RU"/>
              </w:rPr>
              <w:t xml:space="preserve">răspuns virologic susținut </w:t>
            </w:r>
            <w:bookmarkEnd w:id="1"/>
            <w:r w:rsidRPr="00C50ADD">
              <w:rPr>
                <w:rFonts w:ascii="Times New Roman" w:eastAsia="Times New Roman" w:hAnsi="Times New Roman" w:cs="Times New Roman"/>
                <w:bCs/>
                <w:sz w:val="24"/>
                <w:szCs w:val="24"/>
                <w:lang w:val="ro-RO" w:eastAsia="ru-RU"/>
              </w:rPr>
              <w:t>(</w:t>
            </w:r>
            <w:r w:rsidRPr="00C50ADD">
              <w:rPr>
                <w:rFonts w:ascii="Times New Roman" w:eastAsia="Times New Roman" w:hAnsi="Times New Roman" w:cs="Times New Roman"/>
                <w:color w:val="4D5156"/>
                <w:sz w:val="24"/>
                <w:szCs w:val="24"/>
                <w:shd w:val="clear" w:color="auto" w:fill="FFFFFF"/>
                <w:lang w:val="ro-RO" w:eastAsia="ru-RU"/>
              </w:rPr>
              <w:t xml:space="preserve"> sustained virologic response</w:t>
            </w:r>
            <w:r w:rsidRPr="00C50ADD">
              <w:rPr>
                <w:rFonts w:ascii="Times New Roman" w:eastAsia="Times New Roman" w:hAnsi="Times New Roman" w:cs="Times New Roman"/>
                <w:bCs/>
                <w:sz w:val="24"/>
                <w:szCs w:val="24"/>
                <w:lang w:val="ro-RO" w:eastAsia="ru-RU"/>
              </w:rPr>
              <w:t>)</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TAF</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Tenofoviri alafenamid</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TAV</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Tratament antiviral</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TC </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sz w:val="24"/>
                <w:szCs w:val="24"/>
                <w:lang w:val="ro-RO" w:eastAsia="ru-RU"/>
              </w:rPr>
              <w:t xml:space="preserve">tomografie computerizată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TE</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elastografia tranzitorie (</w:t>
            </w:r>
            <w:r w:rsidRPr="00C50ADD">
              <w:rPr>
                <w:rFonts w:ascii="Times New Roman" w:eastAsia="Times New Roman" w:hAnsi="Times New Roman" w:cs="Times New Roman"/>
                <w:i/>
                <w:iCs/>
                <w:sz w:val="24"/>
                <w:szCs w:val="24"/>
                <w:lang w:val="ro-RO" w:eastAsia="ru-RU"/>
              </w:rPr>
              <w:t>transient elastography)</w:t>
            </w:r>
          </w:p>
        </w:tc>
      </w:tr>
      <w:tr w:rsidR="00C50ADD" w:rsidRPr="00D645AA"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VCTE</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elastografie tranzitorie controlată prin vibrații</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USG </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ultrasonografie </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VEL</w:t>
            </w:r>
          </w:p>
        </w:tc>
        <w:tc>
          <w:tcPr>
            <w:tcW w:w="3960" w:type="pct"/>
          </w:tcPr>
          <w:p w:rsidR="00C50ADD" w:rsidRPr="00C50ADD" w:rsidRDefault="00C50ADD" w:rsidP="00C50ADD">
            <w:pPr>
              <w:tabs>
                <w:tab w:val="right" w:pos="9638"/>
              </w:tabs>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Velpatasvirum*</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VHA</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Virusul hepatitei A</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VHB</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Virusul hepatitei B</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VHC</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Virusul hepatitei C</w:t>
            </w:r>
          </w:p>
        </w:tc>
      </w:tr>
      <w:tr w:rsidR="00C50ADD" w:rsidRPr="00C50ADD" w:rsidTr="00C50ADD">
        <w:tc>
          <w:tcPr>
            <w:tcW w:w="104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VHD </w:t>
            </w:r>
          </w:p>
        </w:tc>
        <w:tc>
          <w:tcPr>
            <w:tcW w:w="3960" w:type="pct"/>
          </w:tcPr>
          <w:p w:rsidR="00C50ADD" w:rsidRPr="00C50ADD" w:rsidRDefault="00C50ADD" w:rsidP="00C50ADD">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Virusul hepatitei D </w:t>
            </w:r>
          </w:p>
        </w:tc>
      </w:tr>
    </w:tbl>
    <w:p w:rsidR="00C50ADD" w:rsidRPr="00C50ADD" w:rsidRDefault="00C50ADD" w:rsidP="00C50ADD">
      <w:pPr>
        <w:tabs>
          <w:tab w:val="right" w:pos="9638"/>
        </w:tabs>
        <w:spacing w:after="0" w:line="240" w:lineRule="auto"/>
        <w:ind w:left="284"/>
        <w:jc w:val="both"/>
        <w:rPr>
          <w:rFonts w:ascii="Times New Roman" w:eastAsia="Times New Roman" w:hAnsi="Times New Roman" w:cs="Times New Roman"/>
          <w:b/>
          <w:caps/>
          <w:sz w:val="24"/>
          <w:szCs w:val="24"/>
          <w:lang w:val="ro-RO" w:eastAsia="ru-RU"/>
        </w:rPr>
        <w:sectPr w:rsidR="00C50ADD" w:rsidRPr="00C50ADD" w:rsidSect="00C50ADD">
          <w:footerReference w:type="even" r:id="rId9"/>
          <w:footerReference w:type="default" r:id="rId10"/>
          <w:footerReference w:type="first" r:id="rId11"/>
          <w:pgSz w:w="11906" w:h="16838" w:code="9"/>
          <w:pgMar w:top="426" w:right="1440" w:bottom="1440" w:left="1440" w:header="720" w:footer="709" w:gutter="0"/>
          <w:cols w:space="708"/>
          <w:docGrid w:linePitch="360"/>
        </w:sectPr>
      </w:pPr>
    </w:p>
    <w:p w:rsidR="00C50ADD" w:rsidRPr="00C50ADD" w:rsidRDefault="00C50ADD" w:rsidP="00C50ADD">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bookmarkStart w:id="2" w:name="_Toc177994771"/>
      <w:r w:rsidRPr="00C50ADD">
        <w:rPr>
          <w:rFonts w:ascii="Times New Roman" w:eastAsia="Times New Roman" w:hAnsi="Times New Roman" w:cs="Times New Roman"/>
          <w:b/>
          <w:caps/>
          <w:spacing w:val="15"/>
          <w:sz w:val="24"/>
          <w:lang w:val="ro-RO" w:eastAsia="x-none"/>
        </w:rPr>
        <w:lastRenderedPageBreak/>
        <w:t>Sumarul recomandărilor</w:t>
      </w:r>
      <w:bookmarkEnd w:id="2"/>
    </w:p>
    <w:p w:rsidR="00C50ADD" w:rsidRPr="00C50ADD" w:rsidRDefault="00C50ADD" w:rsidP="003C1EBC">
      <w:pPr>
        <w:numPr>
          <w:ilvl w:val="0"/>
          <w:numId w:val="30"/>
        </w:numPr>
        <w:spacing w:before="100" w:after="0" w:line="240" w:lineRule="auto"/>
        <w:ind w:right="141"/>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Infecția cu virusul hepatitei C (VHC) este o problemă de sănătate globală care poate evolua către ciroză și boală hepatică în stadiu terminal la o proporție substanțială de pacienți. Deoarece este adesea asimptomatică, screeningul este esențial pentru îmbunătățirea detectării și, în cele din urmă, a tratamentului persoanelor infectate.</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Screeningul pentru infecția cu VHC la adulții cu vârsta ≥18 ani se efectuează la prima adresabilitate la nivel de asistență medicală primară, toate persoanele însărcinate în timpul fiecărei sarcini, toate persoanele din grupul de risc, iar în instituțiile medico-sanitare spitalicești la persoanele cu factori de risc. Repetarea screeningului trebuie efectuată pentru persoanele care prezintă risc continuu de expunere (persoanele cu HIV, deținuții, recipienții transplantelor de organe, hemodializații, etc.).</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Testarea infecției cu VHC trebuie efectuată pentru toți sugarii expuși perinatal cu un test de acid nucleic (NAT) pentru detectarea ARN-HCV la vârsta de 2-6 luni; celor care anterior nu au fost testați se va efectua între 7 și 17 luni. Copiii expuși perinatal, cu vârsta de 18 luni și mai mult, care anterior nu au fost testați pentru VHC, vor fi testați cu un test de anticorpi împotriva virusului hepatitei C (anti-HCV), urmat de un NAT reflex pentru ARN-HCV (când anticorpii anti-HCV sunt reactivi).</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 xml:space="preserve">Testele de diagnosticare pentru hepatita C includ teste serologice care măsoară anticorpii umani generați ca răspuns la infecția cu VHC și testele virologice moleculare care detectează direct ARN-HCV. Testul EIA de a treia generație pentru anti-HCV este cel mai frecvent utilizat test de anticorpi pentru a depista inițial infecția cu VHC. Testul are sensibilitate și specificitate ridicate, dar nu face distincție între infecția cu virusul hepatitei C actuală și cea rezolvată. Testul rapid pentru anticorpi anti-HCV pentru screeningul inițial al anticorpilor HCV va fi utilizat </w:t>
      </w:r>
      <w:r w:rsidRPr="00C50ADD">
        <w:rPr>
          <w:rFonts w:ascii="Times New Roman" w:eastAsia="Times New Roman" w:hAnsi="Times New Roman" w:cs="Times New Roman"/>
          <w:sz w:val="24"/>
          <w:szCs w:val="24"/>
          <w:lang w:val="ro-RO" w:eastAsia="ru-RU"/>
        </w:rPr>
        <w:t>de către prestatorii de servicii la nivel AMP, instituțiile medicale departamentale</w:t>
      </w:r>
      <w:r w:rsidRPr="00C50ADD">
        <w:rPr>
          <w:rFonts w:ascii="Times New Roman" w:eastAsia="Times New Roman" w:hAnsi="Times New Roman" w:cs="Times New Roman"/>
          <w:color w:val="232323"/>
          <w:sz w:val="24"/>
          <w:szCs w:val="24"/>
          <w:lang w:val="ro-RO" w:eastAsia="ru-RU"/>
        </w:rPr>
        <w:t xml:space="preserve"> și instituțiile medico-sanitare spitalicești care nu dispun de testul EIA. Pentru persoanele care au un test de screening pozitiv pentru anticorpi anti-HCV sunt indicate testele cantitative ARN-HCV. Testarea pozitivă pentru ARN-HCV indică infecția actuală (activă) cu VHC. </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Persoanele care au un test ARN-HCV pozitiv și hepatită virală C nou diagnosticată vor fi consiliate cu privire la protejarea ficatului de alte afectări, inclusiv întreruperea consumului de alcool, strategii de scădere în greutate dacă sunt supraponderali și cum să minimizeze riscul de transmitere a VHC la alții.</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Riscul de transmitere heterosexuală a VHC este scăzut. Transmiterea sexuală a VHC poate avea loc în rândul bărbaților care fac sex cu bărbați. Hepatita virală C se transmite prin consumul de droguri injectabile și poate avea loc o reinfecție. Transmiterea la domiciliu (intrafamilial) a VHC poate avea loc rar și rezultă din împărtășirea unui articol contaminat cu sânge.</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Transmiterea VHC de la mamă la copil apare la aproximativ 6% dintre femeile însărcinate cu infecție cu VHC iar riscul de infectare nu este modificat semnificativ de modul de naștere sau de alăptare. Femeile cu VHC nu trebuie să evite sarcina și nici alăptarea; sugarii născuți din mame cu infecție cu VHC vor fi monitorizaţi pentru evaluarea posibilei infecții cu VHC.</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În evaluarea inițială, medicul clinician trebuie să efectueze o anamneză amănunțită și un examen fizic, cu accent pe aspectele de stigmatizare ale bolii hepatice cronice și manifestările atribuibile infecției cu VHC, comorbiditățile medicale semnificative și coinfecția cu alte virusuri.</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 xml:space="preserve">Examinarea de laborator completă de bază a pacientului nou diagnosticat include teste de inflamație hepatocelulară, de boală hepatobiliară și de funcție hepatică, teste pentru </w:t>
      </w:r>
      <w:r w:rsidRPr="00C50ADD">
        <w:rPr>
          <w:rFonts w:ascii="Times New Roman" w:eastAsia="Times New Roman" w:hAnsi="Times New Roman" w:cs="Times New Roman"/>
          <w:color w:val="232323"/>
          <w:sz w:val="24"/>
          <w:szCs w:val="24"/>
          <w:lang w:val="ro-RO" w:eastAsia="ru-RU"/>
        </w:rPr>
        <w:lastRenderedPageBreak/>
        <w:t>detectarea coinfecțiilor relevante, un grup de măsuri specifice pentru a determina stadializarea bolii și consiliere cu privire la tratament</w:t>
      </w:r>
      <w:r w:rsidRPr="00C50ADD">
        <w:rPr>
          <w:rFonts w:ascii="Times New Roman" w:eastAsia="Times New Roman" w:hAnsi="Times New Roman" w:cs="Times New Roman"/>
          <w:color w:val="333333"/>
          <w:sz w:val="24"/>
          <w:szCs w:val="24"/>
          <w:lang w:val="ro-RO" w:eastAsia="ru-RU"/>
        </w:rPr>
        <w:t xml:space="preserve">. </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Aproximativ 55 până la 85% dintre persoanele care dobândesc VHC vor dezvolta infecție cronică cu VHC. Dintre persoanele care dezvoltă infecție cronică cu VHC, se estimează că 20 până la 30% vor dezvolta ciroză. Factorii asociați cu o rată crescută de progresie a fibrozei includ dobândirea VHC la o vârstă mai înaintată, crescută independentă de durata infecției, sexul masculin, consumul intens de alcool, coinfecția cu HIV sau VHB, steatoza hepatică și rezistența la insulină.</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 xml:space="preserve">Persoanele care dezvoltă ciroză legată de VHC au un risc de aproximativ 1 până la 4% pe an de a dezvolta HCC. </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Testele simple de laborator împreună cu imagistica abdominală se vor utiliza în continuare pentru a identifica modificările sugestive pentru ciroza hepatică.</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Marcherii serici neinvazivi arată utilitate clinică în prezicerea prezenței sau absenței fibrozei semnificative/cirozei, dar nu sunt la fel de utili în diferențierea stadiilor intermediare ale fibrozei. În general, abordarea optimă a evaluării fibrozei este utilizarea markerilor/testelor serici neinvazive în combinație cu elastografia tranzitorie, care este cea mai precisă pentru identificarea cirozei.</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Screeningul pentru carcinomul hepatocelular (HCC) se efectuează la toți adulții cu ciroză prin ecografie abdominală, efectuată la fiecare 6 luni. Deoarece sensibilitatea și specificitatea AFP sunt scăzute, AFP nu trebuie utilizată ca instrument de screening singur, dar poate fi folosită ca test concomitent.</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Manifestările extrahepatice ale infecției cronice cu VHC includ (dar nu se limitează la): vasculită crioglobulinemică, boală renală cu sau fără crioglobulinemie, tulburări la nivelul pielii incluzând vasculită leucocitoclastică cutanată și porfirie cutanată tardivă, diabet zaharat și sindrom metabolic, limfoame și afecțiuni autoimune.</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Tratamentul cu succes al VHC pare: (1) să aibă beneficii asupra unor afecțiuni extrahepatice, cum ar fi vasculita crioglobulinemică și boala renală și (2) să reducă riscul unor manifestări extrahepatice, cum ar fi limfomul și diabetul.</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Există mai multe obiective ale terapiei antivirale pentru hepatita virală C, inclusiv: (1) eradicarea VHC, (2) îmbunătățirea rezultatelor de sănătate legate de infecția cu VHC și supraviețuirea în toate populațiile și (3) reducerea transmiterii VHC la alte persoane.</w:t>
      </w:r>
    </w:p>
    <w:p w:rsidR="00C50ADD" w:rsidRPr="00C50ADD" w:rsidRDefault="00C50ADD" w:rsidP="00461D8F">
      <w:pPr>
        <w:numPr>
          <w:ilvl w:val="0"/>
          <w:numId w:val="30"/>
        </w:numPr>
        <w:shd w:val="clear" w:color="auto" w:fill="FFFFFF"/>
        <w:spacing w:before="100" w:after="0" w:line="240" w:lineRule="auto"/>
        <w:jc w:val="both"/>
        <w:rPr>
          <w:rFonts w:ascii="Times New Roman" w:eastAsia="Times New Roman" w:hAnsi="Times New Roman" w:cs="Times New Roman"/>
          <w:sz w:val="24"/>
          <w:szCs w:val="24"/>
          <w:lang w:val="ro-RO"/>
        </w:rPr>
      </w:pPr>
      <w:r w:rsidRPr="00C50ADD">
        <w:rPr>
          <w:rFonts w:ascii="Times New Roman" w:eastAsia="Times New Roman" w:hAnsi="Times New Roman" w:cs="Times New Roman"/>
          <w:sz w:val="24"/>
          <w:szCs w:val="24"/>
          <w:lang w:val="ro-RO"/>
        </w:rPr>
        <w:t>Tuturor pacienților care nu au administrat tratament și pacienților cu experiență la tratament cu infecție cu VHC recent dobândită sau cronică trebuie să li se ofere tratament fără întârziere.</w:t>
      </w:r>
    </w:p>
    <w:p w:rsidR="00C50ADD" w:rsidRPr="00C50ADD" w:rsidRDefault="00C50ADD" w:rsidP="00461D8F">
      <w:pPr>
        <w:numPr>
          <w:ilvl w:val="0"/>
          <w:numId w:val="30"/>
        </w:numPr>
        <w:shd w:val="clear" w:color="auto" w:fill="FFFFFF"/>
        <w:spacing w:before="100" w:after="0" w:line="240" w:lineRule="auto"/>
        <w:jc w:val="both"/>
        <w:rPr>
          <w:rFonts w:ascii="Times New Roman" w:eastAsia="Times New Roman" w:hAnsi="Times New Roman" w:cs="Times New Roman"/>
          <w:sz w:val="24"/>
          <w:szCs w:val="24"/>
          <w:lang w:val="ro-RO"/>
        </w:rPr>
      </w:pPr>
      <w:r w:rsidRPr="00C50ADD">
        <w:rPr>
          <w:rFonts w:ascii="Times New Roman" w:eastAsia="Times New Roman" w:hAnsi="Times New Roman" w:cs="Times New Roman"/>
          <w:sz w:val="24"/>
          <w:szCs w:val="24"/>
          <w:lang w:val="ro-RO"/>
        </w:rPr>
        <w:t>Există puține contraindicații pentru tratamentele actuale pe bază de DAA.</w:t>
      </w:r>
    </w:p>
    <w:p w:rsidR="00C50ADD" w:rsidRPr="00C50ADD" w:rsidRDefault="00C50ADD" w:rsidP="00461D8F">
      <w:pPr>
        <w:numPr>
          <w:ilvl w:val="0"/>
          <w:numId w:val="30"/>
        </w:numPr>
        <w:shd w:val="clear" w:color="auto" w:fill="FFFFFF"/>
        <w:spacing w:before="100" w:after="0" w:line="240" w:lineRule="auto"/>
        <w:jc w:val="both"/>
        <w:rPr>
          <w:rFonts w:ascii="Times New Roman" w:eastAsia="Times New Roman" w:hAnsi="Times New Roman" w:cs="Times New Roman"/>
          <w:sz w:val="24"/>
          <w:szCs w:val="24"/>
          <w:lang w:val="ro-RO"/>
        </w:rPr>
      </w:pPr>
      <w:r w:rsidRPr="00C50ADD">
        <w:rPr>
          <w:rFonts w:ascii="Times New Roman" w:eastAsia="Times New Roman" w:hAnsi="Times New Roman" w:cs="Times New Roman"/>
          <w:sz w:val="24"/>
          <w:szCs w:val="24"/>
          <w:lang w:val="ro-RO"/>
        </w:rPr>
        <w:t xml:space="preserve">Utilizarea anumitor agenți inductori ai citocromului P450/P-gp (cum ar fi carbamazepina, fenitoina și fenobarbitalul) contraindică toate regimurile de DAAs dacă acești agenți nu pot fi schimbați cu alte medicamente, din cauza riscului de reducere semnificativă a concentrațiilor de </w:t>
      </w:r>
      <w:r w:rsidRPr="00C50ADD">
        <w:rPr>
          <w:rFonts w:ascii="Times New Roman" w:eastAsia="Times New Roman" w:hAnsi="Times New Roman" w:cs="Times New Roman"/>
          <w:bCs/>
          <w:sz w:val="24"/>
          <w:szCs w:val="24"/>
          <w:lang w:val="ro-RO"/>
        </w:rPr>
        <w:t>medicamente antivirale cu acțiune directă (DAA) asupra VHC</w:t>
      </w:r>
      <w:r w:rsidRPr="00C50ADD">
        <w:rPr>
          <w:rFonts w:ascii="Times New Roman" w:eastAsia="Times New Roman" w:hAnsi="Times New Roman" w:cs="Times New Roman"/>
          <w:sz w:val="24"/>
          <w:szCs w:val="24"/>
          <w:lang w:val="ro-RO"/>
        </w:rPr>
        <w:t>.</w:t>
      </w:r>
    </w:p>
    <w:p w:rsidR="00C50ADD" w:rsidRPr="00C50ADD" w:rsidRDefault="00C50ADD" w:rsidP="00461D8F">
      <w:pPr>
        <w:numPr>
          <w:ilvl w:val="0"/>
          <w:numId w:val="30"/>
        </w:numPr>
        <w:shd w:val="clear" w:color="auto" w:fill="FFFFFF"/>
        <w:spacing w:before="100" w:after="0" w:line="240" w:lineRule="auto"/>
        <w:jc w:val="both"/>
        <w:rPr>
          <w:rFonts w:ascii="Times New Roman" w:eastAsia="Times New Roman" w:hAnsi="Times New Roman" w:cs="Times New Roman"/>
          <w:sz w:val="24"/>
          <w:szCs w:val="24"/>
          <w:lang w:val="ro-RO"/>
        </w:rPr>
      </w:pPr>
      <w:r w:rsidRPr="00C50ADD">
        <w:rPr>
          <w:rFonts w:ascii="Times New Roman" w:eastAsia="Times New Roman" w:hAnsi="Times New Roman" w:cs="Times New Roman"/>
          <w:sz w:val="24"/>
          <w:szCs w:val="24"/>
          <w:lang w:val="ro-RO"/>
        </w:rPr>
        <w:t>Regimurile de tratament care cuprind un inhibitor de protează VHC, cum ar fi grazoprevirum*, glecaprevirum* sau voxilaprevirum*, sunt contraindicate la pacienții cu ciroză decompensată (Child-Pugh B sau C) și la pacienții cu episoade anterioare de decompensare.</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 xml:space="preserve">Un răspuns virusologic susținut este definit ca un nivel nedetectabil de ARN-HCV la 12 săptămâni după finalizarea terapiei antivirale; acesta este denumit SVR12, iar SVR12 are o corelație ridicată cu SVR24, </w:t>
      </w:r>
      <w:r w:rsidRPr="00C50ADD">
        <w:rPr>
          <w:rFonts w:ascii="Times New Roman" w:eastAsia="Times New Roman" w:hAnsi="Times New Roman" w:cs="Times New Roman"/>
          <w:sz w:val="24"/>
          <w:szCs w:val="24"/>
          <w:lang w:val="ro-RO" w:eastAsia="ru-RU"/>
        </w:rPr>
        <w:t>care corespunde unei vindecări definitive a infecției cu VHC în aproape toate cazurile</w:t>
      </w:r>
      <w:r w:rsidRPr="00C50ADD">
        <w:rPr>
          <w:rFonts w:ascii="Times New Roman" w:eastAsia="Times New Roman" w:hAnsi="Times New Roman" w:cs="Times New Roman"/>
          <w:color w:val="333333"/>
          <w:sz w:val="24"/>
          <w:szCs w:val="24"/>
          <w:lang w:val="ro-RO" w:eastAsia="ru-RU"/>
        </w:rPr>
        <w:t xml:space="preserve">. </w:t>
      </w:r>
    </w:p>
    <w:p w:rsidR="00C50ADD" w:rsidRPr="00C50ADD" w:rsidRDefault="00C50ADD" w:rsidP="00461D8F">
      <w:pPr>
        <w:numPr>
          <w:ilvl w:val="0"/>
          <w:numId w:val="30"/>
        </w:numPr>
        <w:spacing w:before="100" w:after="0" w:line="240" w:lineRule="auto"/>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lastRenderedPageBreak/>
        <w:t>Obținerea unui SVR după tratamentul HVC are ca rezultat îmbunătățirea fibrozei hepatice, scăderea riscului dezvoltării HCC, îmbunătățirea supraviețuirii și reducerea manifestărilor extrahepatice asociate cu infecția cronică cu VHC.</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În epoca tratamentului cu DAA, genotipul VHC are un rol redus în răspunsul la tratament, având în vedere disponibilitatea unei varietăți de combinații de DAA cu eficacitate ridicată între genotipuri.</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Pacienții cu vârsta de 70 de ani și peste, au răspunsuri comparabile la terapia DAA în comparație cu pacienții mai tineri.</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color w:val="333333"/>
          <w:sz w:val="24"/>
          <w:szCs w:val="24"/>
          <w:lang w:val="ro-RO" w:eastAsia="ru-RU"/>
        </w:rPr>
      </w:pPr>
      <w:r w:rsidRPr="00C50ADD">
        <w:rPr>
          <w:rFonts w:ascii="Times New Roman" w:eastAsia="Times New Roman" w:hAnsi="Times New Roman" w:cs="Times New Roman"/>
          <w:color w:val="333333"/>
          <w:sz w:val="24"/>
          <w:szCs w:val="24"/>
          <w:lang w:val="ro-RO" w:eastAsia="ru-RU"/>
        </w:rPr>
        <w:t>Persoanele cu fibroză avansată și ciroză compensată au rate de SVR ale tratamentului VHC mai mari de 95% cu scheme de tratament de 12 săptămâni, datorită terapiilor noi cu DAA. Persoanele cu ciroză decompensată sunt mai dificil de tratat și au adesea rate de răspuns reduse.</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color w:val="232323"/>
          <w:sz w:val="24"/>
          <w:szCs w:val="24"/>
          <w:lang w:val="ro-RO" w:eastAsia="ru-RU"/>
        </w:rPr>
        <w:t>Evaluarea pre</w:t>
      </w:r>
      <w:r w:rsidRPr="00C50ADD">
        <w:rPr>
          <w:rFonts w:ascii="Times New Roman" w:eastAsia="Times New Roman" w:hAnsi="Times New Roman" w:cs="Times New Roman"/>
          <w:b/>
          <w:bCs/>
          <w:color w:val="232323"/>
          <w:sz w:val="24"/>
          <w:szCs w:val="24"/>
          <w:lang w:val="ro-RO" w:eastAsia="ru-RU"/>
        </w:rPr>
        <w:t>-</w:t>
      </w:r>
      <w:r w:rsidRPr="00C50ADD">
        <w:rPr>
          <w:rFonts w:ascii="Times New Roman" w:eastAsia="Times New Roman" w:hAnsi="Times New Roman" w:cs="Times New Roman"/>
          <w:color w:val="232323"/>
          <w:sz w:val="24"/>
          <w:szCs w:val="24"/>
          <w:lang w:val="ro-RO" w:eastAsia="ru-RU"/>
        </w:rPr>
        <w:t>terapeutică include evaluarea clinică pentru ciroză, testarea altor afecțiuni care pot avea un impact asupra managementului, cum ar fi HIV, virusul hepatitei B, sarcina și o revizuire a listei de medicamente pentru potențiale interacțiuni. Deoarece genotipul nu este esențial pentru selecția regimului, nu necesită evaluare în mod obișnuit. Pentru terapia inițială, s</w:t>
      </w:r>
      <w:r w:rsidRPr="00C50ADD">
        <w:rPr>
          <w:rFonts w:ascii="Times New Roman" w:eastAsia="Times New Roman" w:hAnsi="Times New Roman" w:cs="Times New Roman"/>
          <w:sz w:val="24"/>
          <w:szCs w:val="24"/>
          <w:lang w:val="ro-RO" w:eastAsia="ru-RU"/>
        </w:rPr>
        <w:t>e recomandă</w:t>
      </w:r>
      <w:r w:rsidRPr="00C50ADD">
        <w:rPr>
          <w:rFonts w:ascii="Times New Roman" w:eastAsia="Times New Roman" w:hAnsi="Times New Roman" w:cs="Times New Roman"/>
          <w:color w:val="232323"/>
          <w:sz w:val="24"/>
          <w:szCs w:val="24"/>
          <w:lang w:val="ro-RO" w:eastAsia="ru-RU"/>
        </w:rPr>
        <w:t xml:space="preserve"> unul dintre regimurile pangenotipice, s</w:t>
      </w:r>
      <w:r w:rsidRPr="00C50ADD">
        <w:rPr>
          <w:rFonts w:ascii="Times New Roman" w:eastAsia="Times New Roman" w:hAnsi="Times New Roman" w:cs="Times New Roman"/>
          <w:sz w:val="24"/>
          <w:szCs w:val="24"/>
          <w:lang w:val="ro-RO" w:eastAsia="ru-RU"/>
        </w:rPr>
        <w:t xml:space="preserve">ofosbuvirum+daclatasvirum*, </w:t>
      </w:r>
      <w:hyperlink r:id="rId12" w:history="1">
        <w:r w:rsidRPr="00C50ADD">
          <w:rPr>
            <w:rFonts w:ascii="Times New Roman" w:eastAsia="Times New Roman" w:hAnsi="Times New Roman" w:cs="Times New Roman"/>
            <w:sz w:val="24"/>
            <w:szCs w:val="24"/>
            <w:lang w:val="ro-RO" w:eastAsia="ru-RU"/>
          </w:rPr>
          <w:t>sofosbuvirum + velpatasvir</w:t>
        </w:r>
      </w:hyperlink>
      <w:r w:rsidRPr="00C50ADD">
        <w:rPr>
          <w:rFonts w:ascii="Times New Roman" w:eastAsia="Times New Roman" w:hAnsi="Times New Roman" w:cs="Times New Roman"/>
          <w:sz w:val="24"/>
          <w:szCs w:val="24"/>
          <w:lang w:val="ro-RO" w:eastAsia="ru-RU"/>
        </w:rPr>
        <w:t xml:space="preserve">um* sau </w:t>
      </w:r>
      <w:hyperlink r:id="rId13" w:history="1">
        <w:r w:rsidRPr="00C50ADD">
          <w:rPr>
            <w:rFonts w:ascii="Times New Roman" w:eastAsia="Times New Roman" w:hAnsi="Times New Roman" w:cs="Times New Roman"/>
            <w:sz w:val="24"/>
            <w:szCs w:val="24"/>
            <w:lang w:val="ro-RO" w:eastAsia="ru-RU"/>
          </w:rPr>
          <w:t>glecaprevirum + pibrentasvir</w:t>
        </w:r>
      </w:hyperlink>
      <w:r w:rsidRPr="00C50ADD">
        <w:rPr>
          <w:rFonts w:ascii="Times New Roman" w:eastAsia="Times New Roman" w:hAnsi="Times New Roman" w:cs="Times New Roman"/>
          <w:sz w:val="24"/>
          <w:szCs w:val="24"/>
          <w:lang w:val="ro-RO" w:eastAsia="ru-RU"/>
        </w:rPr>
        <w:t xml:space="preserve">um*, mai degrabă decât alte regimuri. Sofosbuvirum + velpatasvirum* se administrează timp de 12 săptămâni și glecaprevirum + pibrentasvirum* timp de 8 săptămâni; aceste regimuri au ca rezultat rate SVR &gt;95% cu orice genotip și au efecte adverse minore. </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sz w:val="24"/>
          <w:szCs w:val="24"/>
          <w:lang w:val="ro-RO" w:eastAsia="ru-RU"/>
        </w:rPr>
        <w:t xml:space="preserve">Regimurile non-pangenotipice sunt, de asemenea, eficiente, dar nu oferă niciun avantaj clar față de regimurile pangenotipice. Pe plan internațional, cel mai utilizat regim alternativ este </w:t>
      </w:r>
      <w:hyperlink r:id="rId14" w:history="1">
        <w:r w:rsidRPr="00C50ADD">
          <w:rPr>
            <w:rFonts w:ascii="Times New Roman" w:eastAsia="Times New Roman" w:hAnsi="Times New Roman" w:cs="Times New Roman"/>
            <w:sz w:val="24"/>
            <w:szCs w:val="24"/>
            <w:lang w:val="ro-RO" w:eastAsia="ru-RU"/>
          </w:rPr>
          <w:t>sofosbuvir</w:t>
        </w:r>
      </w:hyperlink>
      <w:r w:rsidRPr="00C50ADD">
        <w:rPr>
          <w:rFonts w:ascii="Times New Roman" w:eastAsia="Times New Roman" w:hAnsi="Times New Roman" w:cs="Times New Roman"/>
          <w:sz w:val="24"/>
          <w:szCs w:val="24"/>
          <w:lang w:val="ro-RO" w:eastAsia="ru-RU"/>
        </w:rPr>
        <w:t>um+daclatasvirum* sau sofosbuvirum + velpatasvirum*, care se administrează timp de 12 săptămâni pentru pacienții fără ciroză sau 24 de săptămâni pentru pac</w:t>
      </w:r>
      <w:r w:rsidRPr="00C50ADD">
        <w:rPr>
          <w:rFonts w:ascii="Times New Roman" w:eastAsia="Times New Roman" w:hAnsi="Times New Roman" w:cs="Times New Roman"/>
          <w:color w:val="232323"/>
          <w:sz w:val="24"/>
          <w:szCs w:val="24"/>
          <w:lang w:val="ro-RO" w:eastAsia="ru-RU"/>
        </w:rPr>
        <w:t>ienții cu ciroză.</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Interacțiunile medicamentoase trebuie evaluate înainte de inițierea tratamentului și pe parcurs, la necesitate. Nivelurile crescute ale pH-ului gastric scad absorbția velpatasvirum*. Astfel, se va evita administrarea concomitentă de sofosbuvirum + velpatasvirum* cu inhibitori ai pompei de protoni și alte medicamente care reduc aciditatea.</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Monitorizarea tr</w:t>
      </w:r>
      <w:r w:rsidRPr="00C50ADD">
        <w:rPr>
          <w:rFonts w:ascii="Times New Roman" w:eastAsia="Times New Roman" w:hAnsi="Times New Roman" w:cs="Times New Roman"/>
          <w:sz w:val="24"/>
          <w:szCs w:val="24"/>
          <w:lang w:val="ro-RO" w:eastAsia="ru-RU"/>
        </w:rPr>
        <w:t xml:space="preserve">atamentului </w:t>
      </w:r>
      <w:r w:rsidRPr="00C50ADD">
        <w:rPr>
          <w:rFonts w:ascii="Times New Roman" w:eastAsia="Times New Roman" w:hAnsi="Times New Roman" w:cs="Times New Roman"/>
          <w:color w:val="232323"/>
          <w:sz w:val="24"/>
          <w:szCs w:val="24"/>
          <w:lang w:val="ro-RO" w:eastAsia="ru-RU"/>
        </w:rPr>
        <w:t>include evaluarea efectelor adverse și evaluarea aderenței pe parcursul tratamentului.</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color w:val="232323"/>
          <w:sz w:val="24"/>
          <w:szCs w:val="24"/>
          <w:lang w:val="ro-RO" w:eastAsia="ru-RU"/>
        </w:rPr>
      </w:pPr>
      <w:r w:rsidRPr="00C50ADD">
        <w:rPr>
          <w:rFonts w:ascii="Times New Roman" w:eastAsia="Times New Roman" w:hAnsi="Times New Roman" w:cs="Times New Roman"/>
          <w:color w:val="232323"/>
          <w:sz w:val="24"/>
          <w:szCs w:val="24"/>
          <w:lang w:val="ro-RO" w:eastAsia="ru-RU"/>
        </w:rPr>
        <w:t>Deși regimurile antivirale contemporane sunt foarte eficiente, o mică minoritate nu răspunde și are viremie persistentă sau recurentă a VHC după cursul inițial de tratament. Spre deosebire de evaluarea limitată necesară înainte de tratamentul inițial, pacienții cu recidivă necesită o evaluare și o monitorizare mai detaliată pentru a optimiza probabilitatea de vindecare cu retratament. Identificarea și abordarea factorilor potențial modificabili la eșecul tratamentului sunt esențiale. De asemenea, se va evalua stadiul de fibroză, dacă nu a fost efectuat recent, și se verifică genotipul.</w:t>
      </w:r>
    </w:p>
    <w:p w:rsidR="00C50ADD" w:rsidRPr="00C50ADD" w:rsidRDefault="00C50ADD" w:rsidP="003C1EBC">
      <w:pPr>
        <w:numPr>
          <w:ilvl w:val="0"/>
          <w:numId w:val="30"/>
        </w:numPr>
        <w:spacing w:before="100" w:after="0" w:line="240" w:lineRule="auto"/>
        <w:ind w:right="142"/>
        <w:contextualSpacing/>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color w:val="232323"/>
          <w:sz w:val="24"/>
          <w:szCs w:val="24"/>
          <w:lang w:val="ro-RO" w:eastAsia="ru-RU"/>
        </w:rPr>
        <w:t xml:space="preserve">Pentru pacienții cu recădere în urma terapiei antivirale cu DAAs recomandăm </w:t>
      </w:r>
      <w:hyperlink r:id="rId15" w:history="1">
        <w:r w:rsidRPr="00C50ADD">
          <w:rPr>
            <w:rFonts w:ascii="Times New Roman" w:eastAsia="Times New Roman" w:hAnsi="Times New Roman" w:cs="Times New Roman"/>
            <w:sz w:val="24"/>
            <w:szCs w:val="24"/>
            <w:lang w:val="ro-RO" w:eastAsia="ru-RU"/>
          </w:rPr>
          <w:t>sofosbuvirum + velpatasvirum + voxilaprevir</w:t>
        </w:r>
      </w:hyperlink>
      <w:r w:rsidRPr="00C50ADD">
        <w:rPr>
          <w:rFonts w:ascii="Times New Roman" w:eastAsia="Times New Roman" w:hAnsi="Times New Roman" w:cs="Times New Roman"/>
          <w:sz w:val="24"/>
          <w:szCs w:val="24"/>
          <w:lang w:val="ro-RO" w:eastAsia="ru-RU"/>
        </w:rPr>
        <w:t xml:space="preserve">um* decât alte scheme. Pentru pacienții care au recidivat după </w:t>
      </w:r>
      <w:hyperlink r:id="rId16" w:history="1">
        <w:r w:rsidRPr="00C50ADD">
          <w:rPr>
            <w:rFonts w:ascii="Times New Roman" w:eastAsia="Times New Roman" w:hAnsi="Times New Roman" w:cs="Times New Roman"/>
            <w:sz w:val="24"/>
            <w:szCs w:val="24"/>
            <w:lang w:val="ro-RO" w:eastAsia="ru-RU"/>
          </w:rPr>
          <w:t>sofosbuvirum + velpatasvir</w:t>
        </w:r>
      </w:hyperlink>
      <w:r w:rsidRPr="00C50ADD">
        <w:rPr>
          <w:rFonts w:ascii="Times New Roman" w:eastAsia="Times New Roman" w:hAnsi="Times New Roman" w:cs="Times New Roman"/>
          <w:sz w:val="24"/>
          <w:szCs w:val="24"/>
          <w:lang w:val="ro-RO" w:eastAsia="ru-RU"/>
        </w:rPr>
        <w:t xml:space="preserve">um* sau </w:t>
      </w:r>
      <w:hyperlink r:id="rId17" w:history="1">
        <w:r w:rsidRPr="00C50ADD">
          <w:rPr>
            <w:rFonts w:ascii="Times New Roman" w:eastAsia="Times New Roman" w:hAnsi="Times New Roman" w:cs="Times New Roman"/>
            <w:sz w:val="24"/>
            <w:szCs w:val="24"/>
            <w:lang w:val="ro-RO" w:eastAsia="ru-RU"/>
          </w:rPr>
          <w:t>ledipasvirum + sofosbuvir</w:t>
        </w:r>
      </w:hyperlink>
      <w:r w:rsidRPr="00C50ADD">
        <w:rPr>
          <w:rFonts w:ascii="Times New Roman" w:eastAsia="Times New Roman" w:hAnsi="Times New Roman" w:cs="Times New Roman"/>
          <w:sz w:val="24"/>
          <w:szCs w:val="24"/>
          <w:lang w:val="ro-RO" w:eastAsia="ru-RU"/>
        </w:rPr>
        <w:t>um*, și</w:t>
      </w:r>
      <w:r w:rsidRPr="00C50ADD">
        <w:rPr>
          <w:rFonts w:ascii="Times New Roman" w:eastAsia="Times New Roman" w:hAnsi="Times New Roman" w:cs="Times New Roman"/>
          <w:sz w:val="24"/>
          <w:szCs w:val="20"/>
          <w:lang w:val="ro-RO" w:eastAsia="ru-RU"/>
        </w:rPr>
        <w:t xml:space="preserve"> </w:t>
      </w:r>
      <w:r w:rsidRPr="00C50ADD">
        <w:rPr>
          <w:rFonts w:ascii="Times New Roman" w:eastAsia="Times New Roman" w:hAnsi="Times New Roman" w:cs="Times New Roman"/>
          <w:sz w:val="24"/>
          <w:szCs w:val="24"/>
          <w:lang w:val="ro-RO" w:eastAsia="ru-RU"/>
        </w:rPr>
        <w:t xml:space="preserve">au infecție de genotip 3 și ciroză compensată, recomandăm adminsitrarea </w:t>
      </w:r>
      <w:hyperlink r:id="rId18" w:history="1">
        <w:r w:rsidRPr="00C50ADD">
          <w:rPr>
            <w:rFonts w:ascii="Times New Roman" w:eastAsia="Times New Roman" w:hAnsi="Times New Roman" w:cs="Times New Roman"/>
            <w:sz w:val="24"/>
            <w:szCs w:val="24"/>
            <w:lang w:val="ro-RO" w:eastAsia="ru-RU"/>
          </w:rPr>
          <w:t>sofosbuvirum + velpatasvirum + voxilaprevir</w:t>
        </w:r>
      </w:hyperlink>
      <w:r w:rsidRPr="00C50ADD">
        <w:rPr>
          <w:rFonts w:ascii="Times New Roman" w:eastAsia="Times New Roman" w:hAnsi="Times New Roman" w:cs="Times New Roman"/>
          <w:sz w:val="24"/>
          <w:szCs w:val="24"/>
          <w:lang w:val="ro-RO" w:eastAsia="ru-RU"/>
        </w:rPr>
        <w:t xml:space="preserve">um* fie timp de 24 de săptămâni, fie cu </w:t>
      </w:r>
      <w:hyperlink r:id="rId19" w:history="1">
        <w:r w:rsidRPr="00C50ADD">
          <w:rPr>
            <w:rFonts w:ascii="Times New Roman" w:eastAsia="Times New Roman" w:hAnsi="Times New Roman" w:cs="Times New Roman"/>
            <w:sz w:val="24"/>
            <w:szCs w:val="24"/>
            <w:lang w:val="ro-RO" w:eastAsia="ru-RU"/>
          </w:rPr>
          <w:t>ribavirin</w:t>
        </w:r>
      </w:hyperlink>
      <w:r w:rsidRPr="00C50ADD">
        <w:rPr>
          <w:rFonts w:ascii="Times New Roman" w:eastAsia="Times New Roman" w:hAnsi="Times New Roman" w:cs="Times New Roman"/>
          <w:sz w:val="24"/>
          <w:szCs w:val="24"/>
          <w:lang w:val="ro-RO" w:eastAsia="ru-RU"/>
        </w:rPr>
        <w:t xml:space="preserve">um* timp de 12 săptămâni. Pentru pacienții care au recidivat după </w:t>
      </w:r>
      <w:hyperlink r:id="rId20" w:history="1">
        <w:r w:rsidRPr="00C50ADD">
          <w:rPr>
            <w:rFonts w:ascii="Times New Roman" w:eastAsia="Times New Roman" w:hAnsi="Times New Roman" w:cs="Times New Roman"/>
            <w:sz w:val="24"/>
            <w:szCs w:val="24"/>
            <w:lang w:val="ro-RO" w:eastAsia="ru-RU"/>
          </w:rPr>
          <w:t>glecaprevirum + pibrentasvir</w:t>
        </w:r>
      </w:hyperlink>
      <w:r w:rsidRPr="00C50ADD">
        <w:rPr>
          <w:rFonts w:ascii="Times New Roman" w:eastAsia="Times New Roman" w:hAnsi="Times New Roman" w:cs="Times New Roman"/>
          <w:sz w:val="24"/>
          <w:szCs w:val="24"/>
          <w:lang w:val="ro-RO" w:eastAsia="ru-RU"/>
        </w:rPr>
        <w:t xml:space="preserve">um* și au ciroză compensată, recomandăm administrarea de </w:t>
      </w:r>
      <w:hyperlink r:id="rId21" w:history="1">
        <w:r w:rsidRPr="00C50ADD">
          <w:rPr>
            <w:rFonts w:ascii="Times New Roman" w:eastAsia="Times New Roman" w:hAnsi="Times New Roman" w:cs="Times New Roman"/>
            <w:sz w:val="24"/>
            <w:szCs w:val="24"/>
            <w:lang w:val="ro-RO" w:eastAsia="ru-RU"/>
          </w:rPr>
          <w:t>sofosbuvirum + velpatasvirum + voxilaprevir</w:t>
        </w:r>
      </w:hyperlink>
      <w:r w:rsidRPr="00C50ADD">
        <w:rPr>
          <w:rFonts w:ascii="Times New Roman" w:eastAsia="Times New Roman" w:hAnsi="Times New Roman" w:cs="Times New Roman"/>
          <w:sz w:val="24"/>
          <w:szCs w:val="24"/>
          <w:lang w:val="ro-RO" w:eastAsia="ru-RU"/>
        </w:rPr>
        <w:t xml:space="preserve">um* fie timp de 24 de săptămâni, fie cu </w:t>
      </w:r>
      <w:hyperlink r:id="rId22" w:history="1">
        <w:r w:rsidRPr="00C50ADD">
          <w:rPr>
            <w:rFonts w:ascii="Times New Roman" w:eastAsia="Times New Roman" w:hAnsi="Times New Roman" w:cs="Times New Roman"/>
            <w:sz w:val="24"/>
            <w:szCs w:val="24"/>
            <w:lang w:val="ro-RO" w:eastAsia="ru-RU"/>
          </w:rPr>
          <w:t>ribavirin</w:t>
        </w:r>
      </w:hyperlink>
      <w:r w:rsidRPr="00C50ADD">
        <w:rPr>
          <w:rFonts w:ascii="Times New Roman" w:eastAsia="Times New Roman" w:hAnsi="Times New Roman" w:cs="Times New Roman"/>
          <w:sz w:val="24"/>
          <w:szCs w:val="24"/>
          <w:lang w:val="ro-RO" w:eastAsia="ru-RU"/>
        </w:rPr>
        <w:t>um* timp de 12 săptămâni.</w:t>
      </w:r>
    </w:p>
    <w:p w:rsidR="00C50ADD" w:rsidRPr="00C50ADD" w:rsidRDefault="00C50ADD" w:rsidP="003C1EBC">
      <w:pPr>
        <w:numPr>
          <w:ilvl w:val="0"/>
          <w:numId w:val="30"/>
        </w:numPr>
        <w:spacing w:before="100" w:after="0" w:line="240" w:lineRule="auto"/>
        <w:ind w:right="142"/>
        <w:jc w:val="both"/>
        <w:rPr>
          <w:rFonts w:ascii="Times New Roman" w:eastAsia="Times New Roman" w:hAnsi="Times New Roman" w:cs="Times New Roman"/>
          <w:bCs/>
          <w:kern w:val="24"/>
          <w:sz w:val="24"/>
          <w:szCs w:val="24"/>
          <w:lang w:val="ro-RO" w:eastAsia="ru-RU"/>
        </w:rPr>
      </w:pPr>
      <w:r w:rsidRPr="00C50ADD">
        <w:rPr>
          <w:rFonts w:ascii="Times New Roman" w:eastAsia="Times New Roman" w:hAnsi="Times New Roman" w:cs="Times New Roman"/>
          <w:color w:val="232323"/>
          <w:sz w:val="24"/>
          <w:szCs w:val="24"/>
          <w:lang w:val="ro-RO" w:eastAsia="ru-RU"/>
        </w:rPr>
        <w:lastRenderedPageBreak/>
        <w:t>Urmărirea post-tratament:</w:t>
      </w:r>
      <w:r w:rsidRPr="00C50ADD">
        <w:rPr>
          <w:rFonts w:ascii="Times New Roman" w:eastAsia="Times New Roman" w:hAnsi="Times New Roman" w:cs="Times New Roman"/>
          <w:sz w:val="24"/>
          <w:szCs w:val="24"/>
          <w:lang w:val="ro-RO" w:eastAsia="ru-RU"/>
        </w:rPr>
        <w:t xml:space="preserve"> t</w:t>
      </w:r>
      <w:r w:rsidRPr="00C50ADD">
        <w:rPr>
          <w:rFonts w:ascii="Times New Roman" w:eastAsia="Times New Roman" w:hAnsi="Times New Roman" w:cs="Times New Roman"/>
          <w:color w:val="232323"/>
          <w:sz w:val="24"/>
          <w:szCs w:val="24"/>
          <w:lang w:val="ro-RO" w:eastAsia="ru-RU"/>
        </w:rPr>
        <w:t>oți pacienții trebuie să fie supuși testării nivelului viral a</w:t>
      </w:r>
      <w:r w:rsidRPr="00C50ADD">
        <w:rPr>
          <w:rFonts w:ascii="Times New Roman" w:eastAsia="Times New Roman" w:hAnsi="Times New Roman" w:cs="Times New Roman"/>
          <w:sz w:val="24"/>
          <w:szCs w:val="24"/>
          <w:lang w:val="ro-RO" w:eastAsia="ru-RU"/>
        </w:rPr>
        <w:t>l VHC</w:t>
      </w:r>
      <w:r w:rsidRPr="00C50ADD">
        <w:rPr>
          <w:rFonts w:ascii="Times New Roman" w:eastAsia="Times New Roman" w:hAnsi="Times New Roman" w:cs="Times New Roman"/>
          <w:color w:val="232323"/>
          <w:sz w:val="24"/>
          <w:szCs w:val="24"/>
          <w:lang w:val="ro-RO" w:eastAsia="ru-RU"/>
        </w:rPr>
        <w:t xml:space="preserve"> la 12/24 săptămâni după finisarea terapiei pentru a evalua succesul tratamentului. P</w:t>
      </w:r>
      <w:r w:rsidRPr="00C50ADD">
        <w:rPr>
          <w:rFonts w:ascii="Times New Roman" w:eastAsia="Times New Roman" w:hAnsi="Times New Roman" w:cs="Times New Roman"/>
          <w:sz w:val="24"/>
          <w:szCs w:val="24"/>
          <w:lang w:val="ro-RO" w:eastAsia="ru-RU"/>
        </w:rPr>
        <w:t>acienții fără fibroză sau cu fibroza moderată și fără comportamente de risc în desfășurare sau alte comorbidități sunt eliminați din lista de monitorizare. Monitorizarea pentru carcinomul hepatocellular (HCC) se face la pacienții cu fibroză avansată sau ciroză. La pacienții cu ciroză se efectuează supravegherea pentru varicele esofagiene prin endoscopie, dacă au prezentat varice la endoscopia pre-tratament.</w:t>
      </w:r>
    </w:p>
    <w:p w:rsidR="00C50ADD" w:rsidRDefault="00C50ADD" w:rsidP="00C50ADD">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bookmarkStart w:id="3" w:name="_Toc27770324"/>
      <w:bookmarkStart w:id="4" w:name="_Toc177994773"/>
    </w:p>
    <w:p w:rsidR="00C50ADD" w:rsidRPr="00C50ADD" w:rsidRDefault="00C50ADD" w:rsidP="00C50ADD">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r w:rsidRPr="00C50ADD">
        <w:rPr>
          <w:rFonts w:ascii="Times New Roman" w:eastAsia="Times New Roman" w:hAnsi="Times New Roman" w:cs="Times New Roman"/>
          <w:b/>
          <w:caps/>
          <w:spacing w:val="15"/>
          <w:sz w:val="24"/>
          <w:lang w:val="ro-RO" w:eastAsia="x-none"/>
        </w:rPr>
        <w:t>A. PARTEA INTRODUCTIVĂ</w:t>
      </w:r>
      <w:bookmarkEnd w:id="3"/>
      <w:bookmarkEnd w:id="4"/>
    </w:p>
    <w:tbl>
      <w:tblPr>
        <w:tblW w:w="5018" w:type="pct"/>
        <w:tblLook w:val="04A0" w:firstRow="1" w:lastRow="0" w:firstColumn="1" w:lastColumn="0" w:noHBand="0" w:noVBand="1"/>
      </w:tblPr>
      <w:tblGrid>
        <w:gridCol w:w="9321"/>
      </w:tblGrid>
      <w:tr w:rsidR="00C50ADD" w:rsidRPr="00C50ADD" w:rsidTr="00B85449">
        <w:tc>
          <w:tcPr>
            <w:tcW w:w="5000" w:type="pct"/>
            <w:shd w:val="clear" w:color="auto" w:fill="auto"/>
          </w:tcPr>
          <w:p w:rsidR="00C50ADD" w:rsidRPr="00C50ADD" w:rsidRDefault="00C50ADD" w:rsidP="00C50ADD">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5" w:name="_Toc177994774"/>
            <w:r w:rsidRPr="00C50ADD">
              <w:rPr>
                <w:rFonts w:ascii="Times New Roman" w:eastAsia="Times New Roman" w:hAnsi="Times New Roman" w:cs="Times New Roman"/>
                <w:b/>
                <w:spacing w:val="15"/>
                <w:sz w:val="24"/>
                <w:szCs w:val="24"/>
                <w:lang w:val="ro-RO" w:eastAsia="x-none"/>
              </w:rPr>
              <w:t>A.1. Diagnosticul. Exemple de formulare a diagnosticului clinic</w:t>
            </w:r>
            <w:bookmarkEnd w:id="5"/>
          </w:p>
          <w:p w:rsidR="00C50ADD" w:rsidRPr="00C50ADD" w:rsidRDefault="00C50ADD" w:rsidP="00461D8F">
            <w:pPr>
              <w:numPr>
                <w:ilvl w:val="0"/>
                <w:numId w:val="20"/>
              </w:numPr>
              <w:spacing w:before="100" w:after="0" w:line="240" w:lineRule="auto"/>
              <w:jc w:val="both"/>
              <w:rPr>
                <w:rFonts w:ascii="Times New Roman" w:eastAsia="Times New Roman" w:hAnsi="Times New Roman" w:cs="Times New Roman"/>
                <w:b/>
                <w:i/>
                <w:sz w:val="24"/>
                <w:szCs w:val="24"/>
                <w:lang w:val="ro-RO" w:eastAsia="ru-RU"/>
              </w:rPr>
            </w:pPr>
            <w:r w:rsidRPr="00C50ADD">
              <w:rPr>
                <w:rFonts w:ascii="Times New Roman" w:eastAsia="Times New Roman" w:hAnsi="Times New Roman" w:cs="Times New Roman"/>
                <w:sz w:val="24"/>
                <w:szCs w:val="24"/>
                <w:lang w:val="ro-RO" w:eastAsia="ru-RU"/>
              </w:rPr>
              <w:t>Hepatită virală C cronică</w:t>
            </w:r>
          </w:p>
          <w:p w:rsidR="00C50ADD" w:rsidRPr="00C50ADD" w:rsidRDefault="00C50ADD" w:rsidP="00C50ADD">
            <w:pPr>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bCs/>
                <w:i/>
                <w:sz w:val="24"/>
                <w:szCs w:val="24"/>
                <w:lang w:val="ro-RO" w:eastAsia="ru-RU"/>
              </w:rPr>
              <w:t>Activitatea bolii:</w:t>
            </w:r>
            <w:r w:rsidRPr="00C50ADD">
              <w:rPr>
                <w:rFonts w:ascii="Times New Roman" w:eastAsia="Times New Roman" w:hAnsi="Times New Roman" w:cs="Times New Roman"/>
                <w:sz w:val="24"/>
                <w:szCs w:val="24"/>
                <w:lang w:val="ro-RO" w:eastAsia="ru-RU"/>
              </w:rPr>
              <w:t xml:space="preserve"> minimală, moderată, maximală</w:t>
            </w:r>
          </w:p>
          <w:p w:rsidR="00C50ADD" w:rsidRPr="00C50ADD" w:rsidRDefault="00C50ADD" w:rsidP="003C1EBC">
            <w:pPr>
              <w:spacing w:after="0" w:line="240" w:lineRule="auto"/>
              <w:ind w:right="176"/>
              <w:jc w:val="both"/>
              <w:rPr>
                <w:rFonts w:ascii="Times New Roman" w:eastAsia="Times New Roman" w:hAnsi="Times New Roman" w:cs="Times New Roman"/>
                <w:i/>
                <w:iCs/>
                <w:sz w:val="24"/>
                <w:szCs w:val="24"/>
                <w:lang w:val="ro-RO" w:eastAsia="ru-RU"/>
              </w:rPr>
            </w:pPr>
            <w:r w:rsidRPr="00C50ADD">
              <w:rPr>
                <w:rFonts w:ascii="Times New Roman" w:eastAsia="Times New Roman" w:hAnsi="Times New Roman" w:cs="Times New Roman"/>
                <w:i/>
                <w:iCs/>
                <w:sz w:val="24"/>
                <w:szCs w:val="24"/>
                <w:lang w:val="ro-RO" w:eastAsia="ru-RU"/>
              </w:rPr>
              <w:t xml:space="preserve">Stadiul de fibroză prezis de testele neinvazive (serologice și/sau imagistice) ale fibrozei hepatice care ar corela cu examenul histologic: </w:t>
            </w:r>
            <w:r w:rsidRPr="00C50ADD">
              <w:rPr>
                <w:rFonts w:ascii="Times New Roman" w:eastAsia="Times New Roman" w:hAnsi="Times New Roman" w:cs="Times New Roman"/>
                <w:color w:val="232323"/>
                <w:sz w:val="24"/>
                <w:szCs w:val="24"/>
                <w:shd w:val="clear" w:color="auto" w:fill="FFFFFF"/>
                <w:lang w:val="ro-RO" w:eastAsia="ru-RU"/>
              </w:rPr>
              <w:t>cum ar fi scorul METAVIR.</w:t>
            </w:r>
          </w:p>
          <w:p w:rsidR="00C50ADD" w:rsidRPr="00C50ADD" w:rsidRDefault="00C50ADD" w:rsidP="00C50ADD">
            <w:pPr>
              <w:spacing w:after="0" w:line="240" w:lineRule="auto"/>
              <w:jc w:val="both"/>
              <w:rPr>
                <w:rFonts w:ascii="Times New Roman" w:eastAsia="Times New Roman" w:hAnsi="Times New Roman" w:cs="Times New Roman"/>
                <w:bCs/>
                <w:i/>
                <w:sz w:val="24"/>
                <w:szCs w:val="24"/>
                <w:lang w:val="ro-RO" w:eastAsia="ru-RU"/>
              </w:rPr>
            </w:pPr>
            <w:r w:rsidRPr="00C50ADD">
              <w:rPr>
                <w:rFonts w:ascii="Times New Roman" w:eastAsia="Times New Roman" w:hAnsi="Times New Roman" w:cs="Times New Roman"/>
                <w:bCs/>
                <w:i/>
                <w:sz w:val="24"/>
                <w:szCs w:val="24"/>
                <w:lang w:val="ro-RO" w:eastAsia="ru-RU"/>
              </w:rPr>
              <w:t xml:space="preserve">Manifestări extrahepatice </w:t>
            </w:r>
            <w:r w:rsidRPr="00C50ADD">
              <w:rPr>
                <w:rFonts w:ascii="Times New Roman" w:eastAsia="Times New Roman" w:hAnsi="Times New Roman" w:cs="Times New Roman"/>
                <w:bCs/>
                <w:iCs/>
                <w:sz w:val="24"/>
                <w:szCs w:val="24"/>
                <w:lang w:val="ro-RO" w:eastAsia="ru-RU"/>
              </w:rPr>
              <w:t>(în caz că sunt prezente)</w:t>
            </w:r>
          </w:p>
          <w:p w:rsidR="00C50ADD" w:rsidRPr="00C50ADD" w:rsidRDefault="00C50ADD" w:rsidP="00461D8F">
            <w:pPr>
              <w:numPr>
                <w:ilvl w:val="0"/>
                <w:numId w:val="20"/>
              </w:numPr>
              <w:spacing w:before="100"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Ciroză hepatică virală C</w:t>
            </w:r>
          </w:p>
          <w:p w:rsidR="00C50ADD" w:rsidRPr="00C50ADD" w:rsidRDefault="00C50ADD" w:rsidP="00461D8F">
            <w:pPr>
              <w:numPr>
                <w:ilvl w:val="0"/>
                <w:numId w:val="7"/>
              </w:numPr>
              <w:spacing w:before="100"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i/>
                <w:sz w:val="24"/>
                <w:szCs w:val="24"/>
                <w:lang w:val="ro-RO" w:eastAsia="ru-RU"/>
              </w:rPr>
              <w:t>Faza bolii</w:t>
            </w:r>
            <w:r w:rsidRPr="00C50ADD">
              <w:rPr>
                <w:rFonts w:ascii="Times New Roman" w:eastAsia="Times New Roman" w:hAnsi="Times New Roman" w:cs="Times New Roman"/>
                <w:bCs/>
                <w:sz w:val="24"/>
                <w:szCs w:val="24"/>
                <w:lang w:val="ro-RO" w:eastAsia="ru-RU"/>
              </w:rPr>
              <w:t>: activă, neactivă.</w:t>
            </w:r>
          </w:p>
          <w:p w:rsidR="00C50ADD" w:rsidRPr="00C50ADD" w:rsidRDefault="00C50ADD" w:rsidP="00C50ADD">
            <w:pPr>
              <w:spacing w:before="100"/>
              <w:rPr>
                <w:rFonts w:ascii="Times New Roman" w:eastAsia="Times New Roman" w:hAnsi="Times New Roman" w:cs="Times New Roman"/>
                <w:i/>
                <w:sz w:val="24"/>
                <w:szCs w:val="20"/>
                <w:lang w:val="ro-RO" w:eastAsia="ru-RU"/>
              </w:rPr>
            </w:pPr>
            <w:r w:rsidRPr="00C50ADD">
              <w:rPr>
                <w:rFonts w:ascii="Times New Roman" w:eastAsia="Times New Roman" w:hAnsi="Times New Roman" w:cs="Times New Roman"/>
                <w:b/>
                <w:bCs/>
                <w:i/>
                <w:sz w:val="24"/>
                <w:szCs w:val="20"/>
                <w:lang w:val="ro-RO" w:eastAsia="ru-RU"/>
              </w:rPr>
              <w:t>Stadializarea bolii</w:t>
            </w:r>
            <w:r w:rsidRPr="00C50ADD">
              <w:rPr>
                <w:rFonts w:ascii="Times New Roman" w:eastAsia="Times New Roman" w:hAnsi="Times New Roman" w:cs="Times New Roman"/>
                <w:i/>
                <w:sz w:val="24"/>
                <w:szCs w:val="20"/>
                <w:lang w:val="ro-RO" w:eastAsia="ru-RU"/>
              </w:rPr>
              <w:t xml:space="preserve">: </w:t>
            </w:r>
            <w:r w:rsidRPr="00C50ADD">
              <w:rPr>
                <w:rFonts w:ascii="Times New Roman" w:eastAsia="Times New Roman" w:hAnsi="Times New Roman" w:cs="Times New Roman"/>
                <w:b/>
                <w:sz w:val="24"/>
                <w:szCs w:val="20"/>
                <w:lang w:val="ro-RO" w:eastAsia="ru-RU"/>
              </w:rPr>
              <w:t>conform</w:t>
            </w:r>
            <w:r w:rsidRPr="00C50ADD">
              <w:rPr>
                <w:rFonts w:ascii="Times New Roman" w:eastAsia="Times New Roman" w:hAnsi="Times New Roman" w:cs="Times New Roman"/>
                <w:iCs/>
                <w:sz w:val="24"/>
                <w:szCs w:val="20"/>
                <w:lang w:val="ro-RO" w:eastAsia="ru-RU"/>
              </w:rPr>
              <w:t xml:space="preserve"> scorului Child-Pugh:</w:t>
            </w:r>
            <w:r w:rsidRPr="00C50ADD">
              <w:rPr>
                <w:rFonts w:ascii="Times New Roman" w:eastAsia="Times New Roman" w:hAnsi="Times New Roman" w:cs="Times New Roman"/>
                <w:i/>
                <w:sz w:val="24"/>
                <w:szCs w:val="20"/>
                <w:lang w:val="ro-RO" w:eastAsia="ru-RU"/>
              </w:rPr>
              <w:t xml:space="preserve"> </w:t>
            </w:r>
            <w:r w:rsidRPr="00C50ADD">
              <w:rPr>
                <w:rFonts w:ascii="Times New Roman" w:eastAsia="Times New Roman" w:hAnsi="Times New Roman" w:cs="Times New Roman"/>
                <w:sz w:val="24"/>
                <w:szCs w:val="20"/>
                <w:lang w:val="ro-RO" w:eastAsia="ru-RU"/>
              </w:rPr>
              <w:t>A, B, C.</w:t>
            </w:r>
          </w:p>
          <w:p w:rsidR="00C50ADD" w:rsidRPr="00C50ADD" w:rsidRDefault="00C50ADD" w:rsidP="00461D8F">
            <w:pPr>
              <w:numPr>
                <w:ilvl w:val="0"/>
                <w:numId w:val="7"/>
              </w:numPr>
              <w:spacing w:before="100" w:after="0" w:line="240" w:lineRule="auto"/>
              <w:jc w:val="both"/>
              <w:rPr>
                <w:rFonts w:ascii="Times New Roman" w:eastAsia="Times New Roman" w:hAnsi="Times New Roman" w:cs="Times New Roman"/>
                <w:i/>
                <w:sz w:val="24"/>
                <w:szCs w:val="24"/>
                <w:lang w:val="ro-RO" w:eastAsia="ru-RU"/>
              </w:rPr>
            </w:pPr>
            <w:r w:rsidRPr="00C50ADD">
              <w:rPr>
                <w:rFonts w:ascii="Times New Roman" w:eastAsia="Times New Roman" w:hAnsi="Times New Roman" w:cs="Times New Roman"/>
                <w:bCs/>
                <w:i/>
                <w:sz w:val="24"/>
                <w:szCs w:val="24"/>
                <w:lang w:val="ro-RO" w:eastAsia="ru-RU"/>
              </w:rPr>
              <w:t>Complicaţii</w:t>
            </w:r>
            <w:r w:rsidRPr="00C50ADD">
              <w:rPr>
                <w:rFonts w:ascii="Times New Roman" w:eastAsia="Times New Roman" w:hAnsi="Times New Roman" w:cs="Times New Roman"/>
                <w:bCs/>
                <w:sz w:val="24"/>
                <w:szCs w:val="24"/>
                <w:lang w:val="ro-RO" w:eastAsia="ru-RU"/>
              </w:rPr>
              <w:t>:</w:t>
            </w:r>
            <w:r w:rsidRPr="00C50ADD">
              <w:rPr>
                <w:rFonts w:ascii="Times New Roman" w:eastAsia="Times New Roman" w:hAnsi="Times New Roman" w:cs="Times New Roman"/>
                <w:sz w:val="24"/>
                <w:szCs w:val="24"/>
                <w:lang w:val="ro-RO" w:eastAsia="ru-RU"/>
              </w:rPr>
              <w:t xml:space="preserve"> fără complicaţii sau cu complicații (de numit complicația).</w:t>
            </w:r>
          </w:p>
          <w:p w:rsidR="00C50ADD" w:rsidRPr="00C50ADD" w:rsidRDefault="00C50ADD" w:rsidP="00C50ADD">
            <w:pPr>
              <w:spacing w:after="0" w:line="240" w:lineRule="auto"/>
              <w:jc w:val="both"/>
              <w:rPr>
                <w:rFonts w:ascii="Times New Roman" w:eastAsia="Times New Roman" w:hAnsi="Times New Roman" w:cs="Times New Roman"/>
                <w:bCs/>
                <w:sz w:val="24"/>
                <w:szCs w:val="24"/>
                <w:lang w:val="ro-RO" w:eastAsia="ru-RU"/>
              </w:rPr>
            </w:pPr>
            <w:r w:rsidRPr="00C50ADD">
              <w:rPr>
                <w:rFonts w:ascii="Times New Roman" w:eastAsia="Times New Roman" w:hAnsi="Times New Roman" w:cs="Times New Roman"/>
                <w:bCs/>
                <w:sz w:val="24"/>
                <w:szCs w:val="24"/>
                <w:lang w:val="ro-RO" w:eastAsia="ru-RU"/>
              </w:rPr>
              <w:t xml:space="preserve">Exemple de </w:t>
            </w:r>
            <w:r w:rsidRPr="00C50ADD">
              <w:rPr>
                <w:rFonts w:ascii="Times New Roman" w:eastAsia="Times New Roman" w:hAnsi="Times New Roman" w:cs="Times New Roman"/>
                <w:spacing w:val="-1"/>
                <w:sz w:val="24"/>
                <w:szCs w:val="24"/>
                <w:lang w:val="ro-RO" w:eastAsia="ru-RU"/>
              </w:rPr>
              <w:t>formulare</w:t>
            </w:r>
            <w:r w:rsidRPr="00C50ADD">
              <w:rPr>
                <w:rFonts w:ascii="Times New Roman" w:eastAsia="Times New Roman" w:hAnsi="Times New Roman" w:cs="Times New Roman"/>
                <w:spacing w:val="-6"/>
                <w:sz w:val="24"/>
                <w:szCs w:val="24"/>
                <w:lang w:val="ro-RO" w:eastAsia="ru-RU"/>
              </w:rPr>
              <w:t xml:space="preserve"> </w:t>
            </w:r>
            <w:r w:rsidRPr="00C50ADD">
              <w:rPr>
                <w:rFonts w:ascii="Times New Roman" w:eastAsia="Times New Roman" w:hAnsi="Times New Roman" w:cs="Times New Roman"/>
                <w:sz w:val="24"/>
                <w:szCs w:val="24"/>
                <w:lang w:val="ro-RO" w:eastAsia="ru-RU"/>
              </w:rPr>
              <w:t>a</w:t>
            </w:r>
            <w:r w:rsidRPr="00C50ADD">
              <w:rPr>
                <w:rFonts w:ascii="Times New Roman" w:eastAsia="Times New Roman" w:hAnsi="Times New Roman" w:cs="Times New Roman"/>
                <w:spacing w:val="3"/>
                <w:sz w:val="24"/>
                <w:szCs w:val="24"/>
                <w:lang w:val="ro-RO" w:eastAsia="ru-RU"/>
              </w:rPr>
              <w:t xml:space="preserve"> </w:t>
            </w:r>
            <w:r w:rsidRPr="00C50ADD">
              <w:rPr>
                <w:rFonts w:ascii="Times New Roman" w:eastAsia="Times New Roman" w:hAnsi="Times New Roman" w:cs="Times New Roman"/>
                <w:spacing w:val="-2"/>
                <w:sz w:val="24"/>
                <w:szCs w:val="24"/>
                <w:lang w:val="ro-RO" w:eastAsia="ru-RU"/>
              </w:rPr>
              <w:t>diagnosticului</w:t>
            </w:r>
            <w:r w:rsidRPr="00C50ADD">
              <w:rPr>
                <w:rFonts w:ascii="Times New Roman" w:eastAsia="Times New Roman" w:hAnsi="Times New Roman" w:cs="Times New Roman"/>
                <w:spacing w:val="-3"/>
                <w:sz w:val="24"/>
                <w:szCs w:val="24"/>
                <w:lang w:val="ro-RO" w:eastAsia="ru-RU"/>
              </w:rPr>
              <w:t xml:space="preserve"> </w:t>
            </w:r>
            <w:r w:rsidRPr="00C50ADD">
              <w:rPr>
                <w:rFonts w:ascii="Times New Roman" w:eastAsia="Times New Roman" w:hAnsi="Times New Roman" w:cs="Times New Roman"/>
                <w:spacing w:val="-1"/>
                <w:sz w:val="24"/>
                <w:szCs w:val="24"/>
                <w:lang w:val="ro-RO" w:eastAsia="ru-RU"/>
              </w:rPr>
              <w:t>clinic</w:t>
            </w:r>
            <w:r w:rsidRPr="00C50ADD">
              <w:rPr>
                <w:rFonts w:ascii="Times New Roman" w:eastAsia="Times New Roman" w:hAnsi="Times New Roman" w:cs="Times New Roman"/>
                <w:bCs/>
                <w:sz w:val="24"/>
                <w:szCs w:val="24"/>
                <w:lang w:val="ro-RO" w:eastAsia="ru-RU"/>
              </w:rPr>
              <w:t>:</w:t>
            </w:r>
          </w:p>
          <w:p w:rsidR="00C50ADD" w:rsidRPr="00C50ADD" w:rsidRDefault="00C50ADD" w:rsidP="00461D8F">
            <w:pPr>
              <w:numPr>
                <w:ilvl w:val="0"/>
                <w:numId w:val="1"/>
              </w:numPr>
              <w:tabs>
                <w:tab w:val="left" w:pos="9840"/>
              </w:tabs>
              <w:spacing w:before="100" w:after="0" w:line="240" w:lineRule="auto"/>
              <w:ind w:right="522"/>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Hepatită virală C cronică, ARN-HCV 15000 U/ml, genotip 1b, activitate înaltă, stadiu de fibroză F2 Metavir (7,8 kPa determinat prin elastografie tranzitorie).</w:t>
            </w:r>
          </w:p>
          <w:p w:rsidR="00C50ADD" w:rsidRPr="00C50ADD" w:rsidRDefault="00C50ADD" w:rsidP="003C1EBC">
            <w:pPr>
              <w:numPr>
                <w:ilvl w:val="0"/>
                <w:numId w:val="1"/>
              </w:numPr>
              <w:spacing w:before="100" w:after="0" w:line="240" w:lineRule="auto"/>
              <w:ind w:left="357" w:right="176" w:hanging="357"/>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Hepatită virală C cronică, ARN-HCV 300000 U/ml, genotip 1a, activitate minimală, stadiu de fibroză F2 Metavir (8,8 kPa determinat prin elastografie cu undă de forfecare), cu manifestări extrahepatice: vasculită crioglobulinemică secundară, forma tegumentară.</w:t>
            </w:r>
          </w:p>
          <w:p w:rsidR="00C50ADD" w:rsidRPr="00C50ADD" w:rsidRDefault="00C50ADD" w:rsidP="003C1EBC">
            <w:pPr>
              <w:numPr>
                <w:ilvl w:val="0"/>
                <w:numId w:val="1"/>
              </w:numPr>
              <w:spacing w:before="100" w:after="0" w:line="240" w:lineRule="auto"/>
              <w:ind w:left="357" w:right="176" w:hanging="357"/>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Ciroză hepatică de etiologie virală C, ARN-HCV 25000 U/ml, faza activă, evoluție progresivă, decompensată portal (ascită) și parenchimatos (insuficiență hepatocelulară cronică), stadiul Child-Pugh C (12 puncte), scorul MELD – 28 puncte. Hipersplenism grad 3.</w:t>
            </w:r>
          </w:p>
        </w:tc>
      </w:tr>
      <w:tr w:rsidR="00C50ADD" w:rsidRPr="00D645AA" w:rsidTr="00B85449">
        <w:tc>
          <w:tcPr>
            <w:tcW w:w="5000" w:type="pct"/>
            <w:shd w:val="clear" w:color="auto" w:fill="auto"/>
          </w:tcPr>
          <w:p w:rsidR="00C50ADD" w:rsidRPr="00C50ADD" w:rsidRDefault="00C50ADD" w:rsidP="00C50ADD">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0"/>
                <w:lang w:val="ro-RO" w:eastAsia="x-none"/>
              </w:rPr>
            </w:pPr>
            <w:bookmarkStart w:id="6" w:name="_Toc177994775"/>
            <w:r w:rsidRPr="00C50ADD">
              <w:rPr>
                <w:rFonts w:ascii="Times New Roman" w:eastAsia="Times New Roman" w:hAnsi="Times New Roman" w:cs="Times New Roman"/>
                <w:b/>
                <w:spacing w:val="15"/>
                <w:sz w:val="24"/>
                <w:szCs w:val="20"/>
                <w:lang w:val="ro-RO" w:eastAsia="x-none"/>
              </w:rPr>
              <w:t>A.2. Codul bolii (CIM 10)</w:t>
            </w:r>
            <w:bookmarkEnd w:id="6"/>
          </w:p>
          <w:p w:rsidR="00C50ADD" w:rsidRPr="00C50ADD" w:rsidRDefault="00C50ADD" w:rsidP="00C50ADD">
            <w:pPr>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B18.2 Hepatita virală cronică C</w:t>
            </w:r>
          </w:p>
          <w:p w:rsidR="00C50ADD" w:rsidRPr="00C50ADD" w:rsidRDefault="00C50ADD" w:rsidP="00C50ADD">
            <w:pPr>
              <w:spacing w:after="0" w:line="240" w:lineRule="auto"/>
              <w:jc w:val="both"/>
              <w:rPr>
                <w:rFonts w:ascii="Times New Roman" w:eastAsia="Times New Roman" w:hAnsi="Times New Roman" w:cs="Times New Roman"/>
                <w:sz w:val="24"/>
                <w:szCs w:val="24"/>
                <w:lang w:val="ro-RO" w:eastAsia="ru-RU"/>
              </w:rPr>
            </w:pPr>
            <w:r w:rsidRPr="00C50ADD">
              <w:rPr>
                <w:rFonts w:ascii="Times New Roman" w:eastAsia="Times New Roman" w:hAnsi="Times New Roman" w:cs="Times New Roman"/>
                <w:sz w:val="24"/>
                <w:szCs w:val="24"/>
                <w:lang w:val="ro-RO" w:eastAsia="ru-RU"/>
              </w:rPr>
              <w:t xml:space="preserve">K 74.6 Ciroză hepatică de etiologie virală C, faza activă, evoluție progresivă, compensată, stadiul </w:t>
            </w:r>
            <w:r w:rsidRPr="00C50ADD">
              <w:rPr>
                <w:rFonts w:ascii="Times New Roman" w:eastAsia="Times New Roman" w:hAnsi="Times New Roman" w:cs="Times New Roman"/>
                <w:i/>
                <w:sz w:val="24"/>
                <w:szCs w:val="24"/>
                <w:lang w:val="ro-RO" w:eastAsia="ru-RU"/>
              </w:rPr>
              <w:t xml:space="preserve">Child-Pugh: </w:t>
            </w:r>
            <w:r w:rsidRPr="00C50ADD">
              <w:rPr>
                <w:rFonts w:ascii="Times New Roman" w:eastAsia="Times New Roman" w:hAnsi="Times New Roman" w:cs="Times New Roman"/>
                <w:sz w:val="24"/>
                <w:szCs w:val="24"/>
                <w:lang w:val="ro-RO" w:eastAsia="ru-RU"/>
              </w:rPr>
              <w:t>A (5 puncte).</w:t>
            </w:r>
          </w:p>
        </w:tc>
      </w:tr>
    </w:tbl>
    <w:p w:rsidR="00C50ADD" w:rsidRDefault="00C50ADD" w:rsidP="00C50ADD">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7" w:name="_Toc177994776"/>
      <w:r w:rsidRPr="00C50ADD">
        <w:rPr>
          <w:rFonts w:ascii="Times New Roman" w:eastAsia="Times New Roman" w:hAnsi="Times New Roman" w:cs="Times New Roman"/>
          <w:b/>
          <w:spacing w:val="15"/>
          <w:sz w:val="24"/>
          <w:szCs w:val="24"/>
          <w:lang w:val="ro-RO" w:eastAsia="x-none"/>
        </w:rPr>
        <w:t>A.3. Utilizatorii</w:t>
      </w:r>
      <w:bookmarkEnd w:id="7"/>
    </w:p>
    <w:p w:rsidR="002D6AA6" w:rsidRPr="00603EA8" w:rsidRDefault="002D6AA6" w:rsidP="002D6AA6">
      <w:pPr>
        <w:pStyle w:val="Pa23"/>
        <w:numPr>
          <w:ilvl w:val="0"/>
          <w:numId w:val="131"/>
        </w:numPr>
        <w:spacing w:before="0" w:after="0" w:line="240" w:lineRule="auto"/>
        <w:jc w:val="both"/>
        <w:rPr>
          <w:lang w:val="ro-RO"/>
        </w:rPr>
      </w:pPr>
      <w:bookmarkStart w:id="8" w:name="_Toc177994777"/>
      <w:r>
        <w:rPr>
          <w:lang w:val="ro-RO"/>
        </w:rPr>
        <w:t xml:space="preserve">Secția consultativă SCR ,,Timofei Moșneaga” </w:t>
      </w:r>
      <w:r w:rsidRPr="00603EA8">
        <w:rPr>
          <w:lang w:val="ro-RO"/>
        </w:rPr>
        <w:t>(medic</w:t>
      </w:r>
      <w:r>
        <w:rPr>
          <w:lang w:val="ro-RO"/>
        </w:rPr>
        <w:t xml:space="preserve"> </w:t>
      </w:r>
      <w:r w:rsidR="005A0FF1">
        <w:rPr>
          <w:lang w:val="ro-RO"/>
        </w:rPr>
        <w:t>specialist</w:t>
      </w:r>
      <w:r>
        <w:rPr>
          <w:lang w:val="ro-RO"/>
        </w:rPr>
        <w:t xml:space="preserve"> hepatolog, </w:t>
      </w:r>
      <w:r w:rsidR="005A0FF1">
        <w:rPr>
          <w:lang w:val="ro-RO"/>
        </w:rPr>
        <w:t xml:space="preserve">medic specialist </w:t>
      </w:r>
      <w:r w:rsidRPr="00603EA8">
        <w:rPr>
          <w:lang w:val="ro-RO"/>
        </w:rPr>
        <w:t>gastroenterolog</w:t>
      </w:r>
      <w:r w:rsidR="00C45CD0">
        <w:rPr>
          <w:lang w:val="ro-RO"/>
        </w:rPr>
        <w:t>, medic specialist internist</w:t>
      </w:r>
      <w:r w:rsidRPr="00603EA8">
        <w:rPr>
          <w:lang w:val="ro-RO"/>
        </w:rPr>
        <w:t>)</w:t>
      </w:r>
    </w:p>
    <w:p w:rsidR="002D6AA6" w:rsidRPr="00603EA8" w:rsidRDefault="005A0FF1" w:rsidP="002D6AA6">
      <w:pPr>
        <w:pStyle w:val="Pa23"/>
        <w:numPr>
          <w:ilvl w:val="0"/>
          <w:numId w:val="131"/>
        </w:numPr>
        <w:spacing w:before="0" w:after="0" w:line="240" w:lineRule="auto"/>
        <w:jc w:val="both"/>
        <w:rPr>
          <w:lang w:val="ro-RO"/>
        </w:rPr>
      </w:pPr>
      <w:r>
        <w:rPr>
          <w:lang w:val="ro-RO"/>
        </w:rPr>
        <w:t>IMSP Spitalul Clinic Republican ,,Timofei Moșneaga”</w:t>
      </w:r>
      <w:r w:rsidR="002D6AA6">
        <w:rPr>
          <w:lang w:val="ro-RO"/>
        </w:rPr>
        <w:t xml:space="preserve"> </w:t>
      </w:r>
      <w:r w:rsidR="002D6AA6" w:rsidRPr="00603EA8">
        <w:rPr>
          <w:lang w:val="ro-RO"/>
        </w:rPr>
        <w:t>(secţi</w:t>
      </w:r>
      <w:r>
        <w:rPr>
          <w:lang w:val="ro-RO"/>
        </w:rPr>
        <w:t>a</w:t>
      </w:r>
      <w:r w:rsidR="002D6AA6">
        <w:rPr>
          <w:lang w:val="ro-RO"/>
        </w:rPr>
        <w:t xml:space="preserve"> </w:t>
      </w:r>
      <w:r w:rsidR="002D6AA6" w:rsidRPr="00603EA8">
        <w:rPr>
          <w:lang w:val="ro-RO"/>
        </w:rPr>
        <w:t>de</w:t>
      </w:r>
      <w:r w:rsidR="002D6AA6">
        <w:rPr>
          <w:lang w:val="ro-RO"/>
        </w:rPr>
        <w:t xml:space="preserve"> </w:t>
      </w:r>
      <w:r w:rsidR="00D22700">
        <w:rPr>
          <w:lang w:val="ro-RO"/>
        </w:rPr>
        <w:t>H</w:t>
      </w:r>
      <w:r>
        <w:rPr>
          <w:lang w:val="ro-RO"/>
        </w:rPr>
        <w:t xml:space="preserve">epatologie, </w:t>
      </w:r>
      <w:r w:rsidR="00D22700">
        <w:rPr>
          <w:lang w:val="ro-RO"/>
        </w:rPr>
        <w:t>G</w:t>
      </w:r>
      <w:r w:rsidR="002D6AA6" w:rsidRPr="00603EA8">
        <w:rPr>
          <w:lang w:val="ro-RO"/>
        </w:rPr>
        <w:t>astroenterologie</w:t>
      </w:r>
      <w:r w:rsidR="00C45CD0">
        <w:rPr>
          <w:lang w:val="ro-RO"/>
        </w:rPr>
        <w:t>, Terapie generală cu alergologie</w:t>
      </w:r>
      <w:r w:rsidR="0000173A">
        <w:rPr>
          <w:lang w:val="ro-RO"/>
        </w:rPr>
        <w:t xml:space="preserve"> </w:t>
      </w:r>
      <w:r>
        <w:rPr>
          <w:lang w:val="ro-RO"/>
        </w:rPr>
        <w:t xml:space="preserve"> </w:t>
      </w:r>
      <w:r w:rsidR="002D6AA6" w:rsidRPr="00603EA8">
        <w:rPr>
          <w:lang w:val="ro-RO"/>
        </w:rPr>
        <w:t>/</w:t>
      </w:r>
      <w:r w:rsidR="002D6AA6">
        <w:rPr>
          <w:lang w:val="ro-RO"/>
        </w:rPr>
        <w:t xml:space="preserve"> </w:t>
      </w:r>
      <w:r w:rsidR="002D6AA6" w:rsidRPr="00603EA8">
        <w:rPr>
          <w:lang w:val="ro-RO"/>
        </w:rPr>
        <w:t>hepatologi,</w:t>
      </w:r>
      <w:r w:rsidR="002D6AA6">
        <w:rPr>
          <w:lang w:val="ro-RO"/>
        </w:rPr>
        <w:t xml:space="preserve"> </w:t>
      </w:r>
      <w:r w:rsidRPr="00603EA8">
        <w:rPr>
          <w:lang w:val="ro-RO"/>
        </w:rPr>
        <w:t>gastroenterologi</w:t>
      </w:r>
      <w:r w:rsidR="00C45CD0">
        <w:rPr>
          <w:lang w:val="ro-RO"/>
        </w:rPr>
        <w:t>, interniști</w:t>
      </w:r>
      <w:r w:rsidR="002D6AA6" w:rsidRPr="00603EA8">
        <w:rPr>
          <w:lang w:val="ro-RO"/>
        </w:rPr>
        <w:t>)</w:t>
      </w:r>
    </w:p>
    <w:p w:rsidR="00FF2EF7" w:rsidRPr="002D6AA6" w:rsidRDefault="002D6AA6" w:rsidP="002D6AA6">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
          <w:sz w:val="24"/>
          <w:szCs w:val="24"/>
          <w:lang w:val="ro-RO" w:eastAsia="x-none"/>
        </w:rPr>
      </w:pPr>
      <w:r w:rsidRPr="002D6AA6">
        <w:rPr>
          <w:rFonts w:ascii="Times New Roman" w:hAnsi="Times New Roman" w:cs="Times New Roman"/>
          <w:b/>
          <w:bCs/>
          <w:i/>
          <w:iCs/>
          <w:sz w:val="24"/>
          <w:szCs w:val="24"/>
          <w:lang w:val="ro-RO"/>
        </w:rPr>
        <w:t>Notă</w:t>
      </w:r>
      <w:r w:rsidRPr="002D6AA6">
        <w:rPr>
          <w:rFonts w:ascii="Times New Roman" w:hAnsi="Times New Roman" w:cs="Times New Roman"/>
          <w:sz w:val="24"/>
          <w:szCs w:val="24"/>
          <w:lang w:val="ro-RO"/>
        </w:rPr>
        <w:t>: Protocolul, la necesitate, poate fi utilizat şi de alţi specialişti.</w:t>
      </w:r>
    </w:p>
    <w:p w:rsidR="00B85449" w:rsidRPr="00B85449" w:rsidRDefault="00B85449" w:rsidP="00B85449">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2"/>
          <w:sz w:val="24"/>
          <w:szCs w:val="24"/>
          <w:lang w:val="ro-RO" w:eastAsia="x-none"/>
        </w:rPr>
      </w:pPr>
      <w:r w:rsidRPr="00B85449">
        <w:rPr>
          <w:rFonts w:ascii="Times New Roman" w:eastAsia="Times New Roman" w:hAnsi="Times New Roman" w:cs="Times New Roman"/>
          <w:b/>
          <w:spacing w:val="-1"/>
          <w:sz w:val="24"/>
          <w:szCs w:val="24"/>
          <w:lang w:val="ro-RO" w:eastAsia="x-none"/>
        </w:rPr>
        <w:lastRenderedPageBreak/>
        <w:t>A.4.</w:t>
      </w:r>
      <w:r w:rsidRPr="00B85449">
        <w:rPr>
          <w:rFonts w:ascii="Times New Roman" w:eastAsia="Times New Roman" w:hAnsi="Times New Roman" w:cs="Times New Roman"/>
          <w:b/>
          <w:spacing w:val="15"/>
          <w:sz w:val="24"/>
          <w:szCs w:val="24"/>
          <w:lang w:val="ro-RO" w:eastAsia="x-none"/>
        </w:rPr>
        <w:t xml:space="preserve"> Obiectivele </w:t>
      </w:r>
      <w:r w:rsidRPr="00B85449">
        <w:rPr>
          <w:rFonts w:ascii="Times New Roman" w:eastAsia="Times New Roman" w:hAnsi="Times New Roman" w:cs="Times New Roman"/>
          <w:b/>
          <w:spacing w:val="-2"/>
          <w:sz w:val="24"/>
          <w:szCs w:val="24"/>
          <w:lang w:val="ro-RO" w:eastAsia="x-none"/>
        </w:rPr>
        <w:t>protocolului</w:t>
      </w:r>
      <w:bookmarkEnd w:id="8"/>
    </w:p>
    <w:p w:rsidR="00B85449" w:rsidRPr="00B85449" w:rsidRDefault="00B85449" w:rsidP="00461D8F">
      <w:pPr>
        <w:numPr>
          <w:ilvl w:val="0"/>
          <w:numId w:val="8"/>
        </w:numPr>
        <w:autoSpaceDE w:val="0"/>
        <w:autoSpaceDN w:val="0"/>
        <w:adjustRightInd w:val="0"/>
        <w:spacing w:before="100" w:after="0" w:line="240" w:lineRule="auto"/>
        <w:ind w:left="414" w:hanging="357"/>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 xml:space="preserve">A contribui realizării obiectivului stabilit de Organizația Mondială a Sănătății (OMS) pentru eliminarea până în 2030 a infecției cu VHC ca amenințare de sănătate publică. </w:t>
      </w:r>
    </w:p>
    <w:p w:rsidR="00B85449" w:rsidRPr="00B85449" w:rsidRDefault="00B85449" w:rsidP="00461D8F">
      <w:pPr>
        <w:numPr>
          <w:ilvl w:val="0"/>
          <w:numId w:val="8"/>
        </w:numPr>
        <w:autoSpaceDE w:val="0"/>
        <w:autoSpaceDN w:val="0"/>
        <w:adjustRightInd w:val="0"/>
        <w:spacing w:before="100" w:after="0" w:line="240" w:lineRule="auto"/>
        <w:ind w:left="414" w:hanging="357"/>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A facilita depistarea pacienţilor cu boală hepatică legată de virusul hepatitei C.</w:t>
      </w:r>
    </w:p>
    <w:p w:rsidR="00B85449" w:rsidRPr="00B85449" w:rsidRDefault="00B85449" w:rsidP="00461D8F">
      <w:pPr>
        <w:numPr>
          <w:ilvl w:val="0"/>
          <w:numId w:val="8"/>
        </w:numPr>
        <w:autoSpaceDE w:val="0"/>
        <w:autoSpaceDN w:val="0"/>
        <w:adjustRightInd w:val="0"/>
        <w:spacing w:before="100" w:after="0" w:line="240" w:lineRule="auto"/>
        <w:ind w:left="414" w:hanging="357"/>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Îmbunătățirea îngrijirii clinice pentru pacienții cu boală hepatică legată de virusul hepatitei C.</w:t>
      </w:r>
    </w:p>
    <w:p w:rsidR="00B85449" w:rsidRPr="00B85449" w:rsidRDefault="00B85449" w:rsidP="00461D8F">
      <w:pPr>
        <w:numPr>
          <w:ilvl w:val="0"/>
          <w:numId w:val="8"/>
        </w:numPr>
        <w:autoSpaceDE w:val="0"/>
        <w:autoSpaceDN w:val="0"/>
        <w:adjustRightInd w:val="0"/>
        <w:spacing w:before="100" w:after="0" w:line="240" w:lineRule="auto"/>
        <w:ind w:left="414" w:hanging="357"/>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 xml:space="preserve">Înțelegerea mai bună a procedurilor de diagnosticare și îmbunătățirea terapiei și a prevenirii </w:t>
      </w:r>
      <w:r w:rsidRPr="00B85449">
        <w:rPr>
          <w:rFonts w:ascii="Times New Roman" w:eastAsia="Times New Roman" w:hAnsi="Times New Roman" w:cs="Times New Roman"/>
          <w:spacing w:val="-1"/>
          <w:sz w:val="24"/>
          <w:szCs w:val="24"/>
          <w:lang w:val="ro-RO" w:eastAsia="ru-RU"/>
        </w:rPr>
        <w:t xml:space="preserve">bolilor hepatice determinate de </w:t>
      </w:r>
      <w:r w:rsidRPr="00B85449">
        <w:rPr>
          <w:rFonts w:ascii="Times New Roman" w:eastAsia="Times New Roman" w:hAnsi="Times New Roman" w:cs="Times New Roman"/>
          <w:sz w:val="24"/>
          <w:szCs w:val="24"/>
          <w:lang w:val="ro-RO" w:eastAsia="ru-RU"/>
        </w:rPr>
        <w:t>infecția cronică cu VHC.</w:t>
      </w:r>
    </w:p>
    <w:p w:rsidR="00B85449" w:rsidRPr="00B85449" w:rsidRDefault="00B85449" w:rsidP="00461D8F">
      <w:pPr>
        <w:numPr>
          <w:ilvl w:val="0"/>
          <w:numId w:val="8"/>
        </w:numPr>
        <w:autoSpaceDE w:val="0"/>
        <w:autoSpaceDN w:val="0"/>
        <w:adjustRightInd w:val="0"/>
        <w:spacing w:before="100" w:after="0" w:line="240" w:lineRule="auto"/>
        <w:ind w:left="414" w:hanging="357"/>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A sprijini practica clinică privind evaluarea și managementul optim al persoanelor cu boală hepatică legată de infecție cronică cu VHC.</w:t>
      </w:r>
    </w:p>
    <w:p w:rsidR="00985282" w:rsidRDefault="00B85449" w:rsidP="00B85449">
      <w:pPr>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pacing w:val="-1"/>
          <w:sz w:val="24"/>
          <w:szCs w:val="24"/>
          <w:lang w:val="ro-RO" w:eastAsia="ru-RU"/>
        </w:rPr>
        <w:t xml:space="preserve">Îmbunătățirea speranței de viață și a calității vieții persoanelor cu boli hepatice determinate de </w:t>
      </w:r>
      <w:r w:rsidRPr="00B85449">
        <w:rPr>
          <w:rFonts w:ascii="Times New Roman" w:eastAsia="Times New Roman" w:hAnsi="Times New Roman" w:cs="Times New Roman"/>
          <w:sz w:val="24"/>
          <w:szCs w:val="24"/>
          <w:lang w:val="ro-RO" w:eastAsia="ru-RU"/>
        </w:rPr>
        <w:t>infecția cronică cu VHC.</w:t>
      </w:r>
    </w:p>
    <w:tbl>
      <w:tblPr>
        <w:tblW w:w="5166" w:type="pct"/>
        <w:tblLayout w:type="fixed"/>
        <w:tblLook w:val="04A0" w:firstRow="1" w:lastRow="0" w:firstColumn="1" w:lastColumn="0" w:noHBand="0" w:noVBand="1"/>
      </w:tblPr>
      <w:tblGrid>
        <w:gridCol w:w="9322"/>
        <w:gridCol w:w="274"/>
      </w:tblGrid>
      <w:tr w:rsidR="00B85449" w:rsidRPr="00B85449" w:rsidTr="00B85449">
        <w:tc>
          <w:tcPr>
            <w:tcW w:w="5000" w:type="pct"/>
            <w:gridSpan w:val="2"/>
            <w:shd w:val="clear" w:color="auto" w:fill="auto"/>
          </w:tcPr>
          <w:p w:rsidR="00B85449" w:rsidRPr="00B85449" w:rsidRDefault="00B85449" w:rsidP="00B85449">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9" w:name="_Toc177994778"/>
            <w:r w:rsidRPr="00B85449">
              <w:rPr>
                <w:rFonts w:ascii="Times New Roman" w:eastAsia="Times New Roman" w:hAnsi="Times New Roman" w:cs="Times New Roman"/>
                <w:b/>
                <w:spacing w:val="15"/>
                <w:sz w:val="24"/>
                <w:szCs w:val="24"/>
                <w:lang w:val="ro-RO" w:eastAsia="x-none"/>
              </w:rPr>
              <w:t>A.5.</w:t>
            </w:r>
            <w:r w:rsidRPr="00B85449">
              <w:rPr>
                <w:rFonts w:ascii="Times New Roman" w:eastAsia="Times New Roman" w:hAnsi="Times New Roman" w:cs="Times New Roman"/>
                <w:b/>
                <w:spacing w:val="-1"/>
                <w:sz w:val="24"/>
                <w:szCs w:val="24"/>
                <w:lang w:val="ro-RO" w:eastAsia="x-none"/>
              </w:rPr>
              <w:t xml:space="preserve"> </w:t>
            </w:r>
            <w:r w:rsidRPr="00B85449">
              <w:rPr>
                <w:rFonts w:ascii="Times New Roman" w:eastAsia="Times New Roman" w:hAnsi="Times New Roman" w:cs="Times New Roman"/>
                <w:b/>
                <w:spacing w:val="15"/>
                <w:sz w:val="24"/>
                <w:szCs w:val="24"/>
                <w:lang w:val="ro-RO" w:eastAsia="x-none"/>
              </w:rPr>
              <w:t>Elaborat: 2008</w:t>
            </w:r>
            <w:bookmarkEnd w:id="9"/>
          </w:p>
          <w:p w:rsidR="00B85449" w:rsidRPr="00B85449" w:rsidRDefault="00B85449" w:rsidP="00B85449">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0" w:name="_Toc177994779"/>
            <w:r w:rsidRPr="00B85449">
              <w:rPr>
                <w:rFonts w:ascii="Times New Roman" w:eastAsia="Times New Roman" w:hAnsi="Times New Roman" w:cs="Times New Roman"/>
                <w:b/>
                <w:spacing w:val="15"/>
                <w:sz w:val="24"/>
                <w:szCs w:val="24"/>
                <w:lang w:val="ro-RO" w:eastAsia="x-none"/>
              </w:rPr>
              <w:t>A.6. Actualizat: 2024</w:t>
            </w:r>
            <w:bookmarkEnd w:id="10"/>
          </w:p>
        </w:tc>
      </w:tr>
      <w:tr w:rsidR="00B85449" w:rsidRPr="00B85449" w:rsidTr="00B85449">
        <w:tc>
          <w:tcPr>
            <w:tcW w:w="5000" w:type="pct"/>
            <w:gridSpan w:val="2"/>
            <w:shd w:val="clear" w:color="auto" w:fill="auto"/>
          </w:tcPr>
          <w:p w:rsidR="00B85449" w:rsidRPr="00B85449" w:rsidRDefault="00B85449" w:rsidP="00B85449">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1" w:name="_Toc177994780"/>
            <w:r w:rsidRPr="00B85449">
              <w:rPr>
                <w:rFonts w:ascii="Times New Roman" w:eastAsia="Times New Roman" w:hAnsi="Times New Roman" w:cs="Times New Roman"/>
                <w:b/>
                <w:spacing w:val="15"/>
                <w:sz w:val="24"/>
                <w:szCs w:val="24"/>
                <w:lang w:val="ro-RO" w:eastAsia="x-none"/>
              </w:rPr>
              <w:t>A.7. Revizuire: 2029</w:t>
            </w:r>
            <w:bookmarkEnd w:id="11"/>
          </w:p>
        </w:tc>
      </w:tr>
      <w:tr w:rsidR="00B85449" w:rsidRPr="00D645AA" w:rsidTr="00B85449">
        <w:trPr>
          <w:gridAfter w:val="1"/>
          <w:wAfter w:w="143" w:type="pct"/>
        </w:trPr>
        <w:tc>
          <w:tcPr>
            <w:tcW w:w="4857" w:type="pct"/>
            <w:shd w:val="clear" w:color="auto" w:fill="auto"/>
            <w:vAlign w:val="center"/>
          </w:tcPr>
          <w:p w:rsidR="00B85449" w:rsidRDefault="00B85449" w:rsidP="00B85449">
            <w:pPr>
              <w:widowControl w:val="0"/>
              <w:autoSpaceDE w:val="0"/>
              <w:autoSpaceDN w:val="0"/>
              <w:adjustRightInd w:val="0"/>
              <w:spacing w:after="0" w:line="240" w:lineRule="auto"/>
              <w:ind w:right="522"/>
              <w:jc w:val="both"/>
              <w:rPr>
                <w:rFonts w:ascii="Times New Roman" w:eastAsia="Times New Roman" w:hAnsi="Times New Roman" w:cs="Times New Roman"/>
                <w:b/>
                <w:bCs/>
                <w:spacing w:val="-1"/>
                <w:sz w:val="24"/>
                <w:szCs w:val="20"/>
                <w:lang w:val="ro-RO" w:eastAsia="ru-RU"/>
              </w:rPr>
            </w:pPr>
            <w:r w:rsidRPr="00B85449">
              <w:rPr>
                <w:rFonts w:ascii="Times New Roman" w:eastAsia="Times New Roman" w:hAnsi="Times New Roman" w:cs="Times New Roman"/>
                <w:sz w:val="24"/>
                <w:szCs w:val="20"/>
                <w:lang w:val="ro-RO" w:eastAsia="ru-RU"/>
              </w:rPr>
              <w:br w:type="page"/>
            </w:r>
            <w:r w:rsidRPr="00B85449">
              <w:rPr>
                <w:rFonts w:ascii="Times New Roman" w:eastAsia="Times New Roman" w:hAnsi="Times New Roman" w:cs="Times New Roman"/>
                <w:b/>
                <w:bCs/>
                <w:spacing w:val="-1"/>
                <w:sz w:val="24"/>
                <w:szCs w:val="20"/>
                <w:lang w:val="ro-RO" w:eastAsia="ru-RU"/>
              </w:rPr>
              <w:t>A.8.</w:t>
            </w:r>
            <w:r w:rsidRPr="00B85449">
              <w:rPr>
                <w:rFonts w:ascii="Times New Roman" w:eastAsia="Times New Roman" w:hAnsi="Times New Roman" w:cs="Times New Roman"/>
                <w:sz w:val="24"/>
                <w:szCs w:val="20"/>
                <w:lang w:val="ro-RO" w:eastAsia="ru-RU"/>
              </w:rPr>
              <w:t xml:space="preserve"> </w:t>
            </w:r>
            <w:r w:rsidRPr="00B85449">
              <w:rPr>
                <w:rFonts w:ascii="Times New Roman" w:eastAsia="Times New Roman" w:hAnsi="Times New Roman" w:cs="Times New Roman"/>
                <w:b/>
                <w:bCs/>
                <w:sz w:val="24"/>
                <w:szCs w:val="20"/>
                <w:lang w:val="ro-RO" w:eastAsia="ru-RU"/>
              </w:rPr>
              <w:t>Lista</w:t>
            </w:r>
            <w:r w:rsidRPr="00B85449">
              <w:rPr>
                <w:rFonts w:ascii="Times New Roman" w:eastAsia="Times New Roman" w:hAnsi="Times New Roman" w:cs="Times New Roman"/>
                <w:b/>
                <w:bCs/>
                <w:spacing w:val="6"/>
                <w:sz w:val="24"/>
                <w:szCs w:val="20"/>
                <w:lang w:val="ro-RO" w:eastAsia="ru-RU"/>
              </w:rPr>
              <w:t xml:space="preserve"> </w:t>
            </w:r>
            <w:r w:rsidRPr="00B85449">
              <w:rPr>
                <w:rFonts w:ascii="Times New Roman" w:eastAsia="Times New Roman" w:hAnsi="Times New Roman" w:cs="Times New Roman"/>
                <w:b/>
                <w:bCs/>
                <w:spacing w:val="-1"/>
                <w:sz w:val="24"/>
                <w:szCs w:val="20"/>
                <w:lang w:val="ro-RO" w:eastAsia="ru-RU"/>
              </w:rPr>
              <w:t>şi</w:t>
            </w:r>
            <w:r w:rsidRPr="00B85449">
              <w:rPr>
                <w:rFonts w:ascii="Times New Roman" w:eastAsia="Times New Roman" w:hAnsi="Times New Roman" w:cs="Times New Roman"/>
                <w:b/>
                <w:bCs/>
                <w:sz w:val="24"/>
                <w:szCs w:val="20"/>
                <w:lang w:val="ro-RO" w:eastAsia="ru-RU"/>
              </w:rPr>
              <w:t xml:space="preserve"> informaţiile de contact </w:t>
            </w:r>
            <w:r w:rsidRPr="00B85449">
              <w:rPr>
                <w:rFonts w:ascii="Times New Roman" w:eastAsia="Times New Roman" w:hAnsi="Times New Roman" w:cs="Times New Roman"/>
                <w:b/>
                <w:bCs/>
                <w:spacing w:val="1"/>
                <w:sz w:val="24"/>
                <w:szCs w:val="20"/>
                <w:lang w:val="ro-RO" w:eastAsia="ru-RU"/>
              </w:rPr>
              <w:t>ale</w:t>
            </w:r>
            <w:r w:rsidRPr="00B85449">
              <w:rPr>
                <w:rFonts w:ascii="Times New Roman" w:eastAsia="Times New Roman" w:hAnsi="Times New Roman" w:cs="Times New Roman"/>
                <w:b/>
                <w:bCs/>
                <w:spacing w:val="-6"/>
                <w:sz w:val="24"/>
                <w:szCs w:val="20"/>
                <w:lang w:val="ro-RO" w:eastAsia="ru-RU"/>
              </w:rPr>
              <w:t xml:space="preserve"> </w:t>
            </w:r>
            <w:r w:rsidRPr="00B85449">
              <w:rPr>
                <w:rFonts w:ascii="Times New Roman" w:eastAsia="Times New Roman" w:hAnsi="Times New Roman" w:cs="Times New Roman"/>
                <w:b/>
                <w:bCs/>
                <w:sz w:val="24"/>
                <w:szCs w:val="20"/>
                <w:lang w:val="ro-RO" w:eastAsia="ru-RU"/>
              </w:rPr>
              <w:t>autorilor</w:t>
            </w:r>
            <w:r w:rsidRPr="00B85449">
              <w:rPr>
                <w:rFonts w:ascii="Times New Roman" w:eastAsia="Times New Roman" w:hAnsi="Times New Roman" w:cs="Times New Roman"/>
                <w:b/>
                <w:bCs/>
                <w:spacing w:val="3"/>
                <w:sz w:val="24"/>
                <w:szCs w:val="20"/>
                <w:lang w:val="ro-RO" w:eastAsia="ru-RU"/>
              </w:rPr>
              <w:t xml:space="preserve"> </w:t>
            </w:r>
            <w:r w:rsidRPr="00B85449">
              <w:rPr>
                <w:rFonts w:ascii="Times New Roman" w:eastAsia="Times New Roman" w:hAnsi="Times New Roman" w:cs="Times New Roman"/>
                <w:b/>
                <w:bCs/>
                <w:spacing w:val="-1"/>
                <w:sz w:val="24"/>
                <w:szCs w:val="20"/>
                <w:lang w:val="ro-RO" w:eastAsia="ru-RU"/>
              </w:rPr>
              <w:t>şi</w:t>
            </w:r>
            <w:r w:rsidRPr="00B85449">
              <w:rPr>
                <w:rFonts w:ascii="Times New Roman" w:eastAsia="Times New Roman" w:hAnsi="Times New Roman" w:cs="Times New Roman"/>
                <w:b/>
                <w:bCs/>
                <w:sz w:val="24"/>
                <w:szCs w:val="20"/>
                <w:lang w:val="ro-RO" w:eastAsia="ru-RU"/>
              </w:rPr>
              <w:t xml:space="preserve"> </w:t>
            </w:r>
            <w:r w:rsidRPr="00B85449">
              <w:rPr>
                <w:rFonts w:ascii="Times New Roman" w:eastAsia="Times New Roman" w:hAnsi="Times New Roman" w:cs="Times New Roman"/>
                <w:b/>
                <w:bCs/>
                <w:spacing w:val="1"/>
                <w:sz w:val="24"/>
                <w:szCs w:val="20"/>
                <w:lang w:val="ro-RO" w:eastAsia="ru-RU"/>
              </w:rPr>
              <w:t>ale</w:t>
            </w:r>
            <w:r w:rsidRPr="00B85449">
              <w:rPr>
                <w:rFonts w:ascii="Times New Roman" w:eastAsia="Times New Roman" w:hAnsi="Times New Roman" w:cs="Times New Roman"/>
                <w:b/>
                <w:bCs/>
                <w:spacing w:val="-6"/>
                <w:sz w:val="24"/>
                <w:szCs w:val="20"/>
                <w:lang w:val="ro-RO" w:eastAsia="ru-RU"/>
              </w:rPr>
              <w:t xml:space="preserve"> </w:t>
            </w:r>
            <w:r w:rsidRPr="00B85449">
              <w:rPr>
                <w:rFonts w:ascii="Times New Roman" w:eastAsia="Times New Roman" w:hAnsi="Times New Roman" w:cs="Times New Roman"/>
                <w:b/>
                <w:bCs/>
                <w:sz w:val="24"/>
                <w:szCs w:val="20"/>
                <w:lang w:val="ro-RO" w:eastAsia="ru-RU"/>
              </w:rPr>
              <w:t xml:space="preserve">persoanelor care </w:t>
            </w:r>
            <w:r w:rsidRPr="00B85449">
              <w:rPr>
                <w:rFonts w:ascii="Times New Roman" w:eastAsia="Times New Roman" w:hAnsi="Times New Roman" w:cs="Times New Roman"/>
                <w:b/>
                <w:bCs/>
                <w:spacing w:val="1"/>
                <w:sz w:val="24"/>
                <w:szCs w:val="20"/>
                <w:lang w:val="ro-RO" w:eastAsia="ru-RU"/>
              </w:rPr>
              <w:t>au</w:t>
            </w:r>
            <w:r w:rsidRPr="00B85449">
              <w:rPr>
                <w:rFonts w:ascii="Times New Roman" w:eastAsia="Times New Roman" w:hAnsi="Times New Roman" w:cs="Times New Roman"/>
                <w:b/>
                <w:bCs/>
                <w:sz w:val="24"/>
                <w:szCs w:val="20"/>
                <w:lang w:val="ro-RO" w:eastAsia="ru-RU"/>
              </w:rPr>
              <w:t xml:space="preserve"> participat </w:t>
            </w:r>
            <w:r w:rsidRPr="00B85449">
              <w:rPr>
                <w:rFonts w:ascii="Times New Roman" w:eastAsia="Times New Roman" w:hAnsi="Times New Roman" w:cs="Times New Roman"/>
                <w:b/>
                <w:bCs/>
                <w:spacing w:val="1"/>
                <w:sz w:val="24"/>
                <w:szCs w:val="20"/>
                <w:lang w:val="ro-RO" w:eastAsia="ru-RU"/>
              </w:rPr>
              <w:t>la</w:t>
            </w:r>
            <w:r w:rsidRPr="00B85449">
              <w:rPr>
                <w:rFonts w:ascii="Times New Roman" w:eastAsia="Times New Roman" w:hAnsi="Times New Roman" w:cs="Times New Roman"/>
                <w:b/>
                <w:bCs/>
                <w:sz w:val="24"/>
                <w:szCs w:val="20"/>
                <w:lang w:val="ro-RO" w:eastAsia="ru-RU"/>
              </w:rPr>
              <w:t xml:space="preserve"> </w:t>
            </w:r>
            <w:r w:rsidRPr="00B85449">
              <w:rPr>
                <w:rFonts w:ascii="Times New Roman" w:eastAsia="Times New Roman" w:hAnsi="Times New Roman" w:cs="Times New Roman"/>
                <w:b/>
                <w:bCs/>
                <w:spacing w:val="-1"/>
                <w:sz w:val="24"/>
                <w:szCs w:val="20"/>
                <w:lang w:val="ro-RO" w:eastAsia="ru-RU"/>
              </w:rPr>
              <w:t>elaborare:</w:t>
            </w:r>
          </w:p>
          <w:p w:rsidR="00B85449" w:rsidRPr="00B85449" w:rsidRDefault="00B85449" w:rsidP="00B85449">
            <w:pPr>
              <w:widowControl w:val="0"/>
              <w:autoSpaceDE w:val="0"/>
              <w:autoSpaceDN w:val="0"/>
              <w:adjustRightInd w:val="0"/>
              <w:spacing w:after="0" w:line="240" w:lineRule="auto"/>
              <w:ind w:right="522"/>
              <w:jc w:val="both"/>
              <w:rPr>
                <w:rFonts w:ascii="Times New Roman" w:eastAsia="Times New Roman" w:hAnsi="Times New Roman" w:cs="Times New Roman"/>
                <w:b/>
                <w:bCs/>
                <w:spacing w:val="2"/>
                <w:sz w:val="24"/>
                <w:szCs w:val="24"/>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6982"/>
            </w:tblGrid>
            <w:tr w:rsidR="00B85449" w:rsidRPr="00B85449" w:rsidTr="00B85449">
              <w:tc>
                <w:tcPr>
                  <w:tcW w:w="2034" w:type="dxa"/>
                  <w:shd w:val="clear" w:color="auto" w:fill="AEAAAA"/>
                </w:tcPr>
                <w:p w:rsidR="00B85449" w:rsidRPr="00B85449" w:rsidRDefault="00B85449" w:rsidP="00B85449">
                  <w:pPr>
                    <w:spacing w:after="0" w:line="240" w:lineRule="auto"/>
                    <w:rPr>
                      <w:rFonts w:ascii="Times New Roman" w:eastAsia="Times New Roman" w:hAnsi="Times New Roman" w:cs="Times New Roman"/>
                      <w:b/>
                      <w:sz w:val="24"/>
                      <w:szCs w:val="24"/>
                      <w:lang w:val="ro-RO" w:eastAsia="ru-RU"/>
                    </w:rPr>
                  </w:pPr>
                  <w:r w:rsidRPr="00B85449">
                    <w:rPr>
                      <w:rFonts w:ascii="Times New Roman" w:eastAsia="Times New Roman" w:hAnsi="Times New Roman" w:cs="Times New Roman"/>
                      <w:b/>
                      <w:sz w:val="24"/>
                      <w:szCs w:val="24"/>
                      <w:lang w:val="ro-RO" w:eastAsia="ru-RU"/>
                    </w:rPr>
                    <w:t>Prenume, nume</w:t>
                  </w:r>
                </w:p>
              </w:tc>
              <w:tc>
                <w:tcPr>
                  <w:tcW w:w="6982" w:type="dxa"/>
                  <w:shd w:val="clear" w:color="auto" w:fill="AEAAAA"/>
                  <w:vAlign w:val="center"/>
                </w:tcPr>
                <w:p w:rsidR="00B85449" w:rsidRPr="00B85449" w:rsidRDefault="00B85449" w:rsidP="00B85449">
                  <w:pPr>
                    <w:spacing w:after="0" w:line="240" w:lineRule="auto"/>
                    <w:jc w:val="center"/>
                    <w:rPr>
                      <w:rFonts w:ascii="Times New Roman" w:eastAsia="Times New Roman" w:hAnsi="Times New Roman" w:cs="Times New Roman"/>
                      <w:b/>
                      <w:sz w:val="24"/>
                      <w:szCs w:val="24"/>
                      <w:lang w:val="ro-RO" w:eastAsia="ru-RU"/>
                    </w:rPr>
                  </w:pPr>
                  <w:r w:rsidRPr="00B85449">
                    <w:rPr>
                      <w:rFonts w:ascii="Times New Roman" w:eastAsia="Times New Roman" w:hAnsi="Times New Roman" w:cs="Times New Roman"/>
                      <w:b/>
                      <w:sz w:val="24"/>
                      <w:szCs w:val="24"/>
                      <w:lang w:val="ro-RO" w:eastAsia="ru-RU"/>
                    </w:rPr>
                    <w:t>Funcţia</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Eugen Tcaciuc</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d.h.ș.m., prof. univ., Şef, Disciplina Gastroenterologie, Departamentul Medicină Internă, USMF „Nicolae Testemiţanu”</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Gheorghe Plăcintă</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d.h.ș.m., conf. univ., Șef, Catedra de Boli infecțioase, USMF „Nicolae Testemiţanu”</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Tiberiu Holban</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d.h.ș.m., prof. univ., Șef Catedră de Boli infecțioase, tropicale și parazitologie medicală, USMF „Nicolae Testemiţanu”</w:t>
                  </w:r>
                </w:p>
              </w:tc>
            </w:tr>
            <w:tr w:rsidR="00B85449" w:rsidRPr="00D645AA" w:rsidTr="00B85449">
              <w:trPr>
                <w:trHeight w:val="586"/>
              </w:trPr>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Liudmila Tofan-Scutaru</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d.ș.m., conf. univ., Disciplina Gastroenterologie, Departamentul Medicină Internă, USMF „Nicolae Testemiţanu”</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Elina Berliba</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d.ș.m., conf. univ, Disciplina Gastroenterologie Departamentul Medicină Internă, USMF „Nicolae Testemiţanu”</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Angela Paraschiv</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d.h.ș.m., conf. univ, USMF „Nicolae Testemiţanu”</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Lilia Cojuhari</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d.ș.m., conf. univ, Catedra de Boli infecțioase, USMF „Nicolae Testemiţanu”</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Valentin Cebotarescu</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d.ș.m., conf. univ, Catedra de Boli infecțioase, USMF „Nicolae Testemiţanu”</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 xml:space="preserve">Tatiana Raba </w:t>
                  </w:r>
                </w:p>
              </w:tc>
              <w:tc>
                <w:tcPr>
                  <w:tcW w:w="6982" w:type="dxa"/>
                </w:tcPr>
                <w:p w:rsidR="00B85449" w:rsidRPr="00B85449" w:rsidRDefault="00B85449" w:rsidP="00B85449">
                  <w:pPr>
                    <w:widowControl w:val="0"/>
                    <w:autoSpaceDE w:val="0"/>
                    <w:autoSpaceDN w:val="0"/>
                    <w:adjustRightInd w:val="0"/>
                    <w:spacing w:after="0" w:line="240" w:lineRule="auto"/>
                    <w:ind w:left="5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d.h.ș.m., conf. univ, Departamentul Pediatrie, USMF „Nicolae Testemiţanu”</w:t>
                  </w:r>
                </w:p>
              </w:tc>
            </w:tr>
            <w:tr w:rsidR="00B85449" w:rsidRPr="00D645AA" w:rsidTr="00B85449">
              <w:tc>
                <w:tcPr>
                  <w:tcW w:w="2034" w:type="dxa"/>
                  <w:vAlign w:val="center"/>
                </w:tcPr>
                <w:p w:rsidR="00B85449" w:rsidRPr="00B85449" w:rsidRDefault="00B85449" w:rsidP="00B85449">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val="ro-RO" w:eastAsia="ru-RU"/>
                    </w:rPr>
                  </w:pPr>
                  <w:r w:rsidRPr="00B85449">
                    <w:rPr>
                      <w:rFonts w:ascii="Times New Roman" w:eastAsia="Times New Roman" w:hAnsi="Times New Roman" w:cs="Times New Roman"/>
                      <w:b/>
                      <w:bCs/>
                      <w:i/>
                      <w:iCs/>
                      <w:sz w:val="24"/>
                      <w:szCs w:val="24"/>
                      <w:lang w:val="ro-RO" w:eastAsia="ru-RU"/>
                    </w:rPr>
                    <w:t>Angela Naghîț</w:t>
                  </w:r>
                </w:p>
              </w:tc>
              <w:tc>
                <w:tcPr>
                  <w:tcW w:w="6982" w:type="dxa"/>
                </w:tcPr>
                <w:p w:rsidR="00B85449" w:rsidRPr="00B85449" w:rsidRDefault="00B85449" w:rsidP="00B85449">
                  <w:pPr>
                    <w:widowControl w:val="0"/>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medic infecționist, șef, secția tratament antiretroviral, IMSP Spitalul Clinic de boli infecțioase ”Toma Ciorbă”</w:t>
                  </w:r>
                </w:p>
              </w:tc>
            </w:tr>
          </w:tbl>
          <w:p w:rsidR="00B85449" w:rsidRPr="00B85449" w:rsidRDefault="00B85449" w:rsidP="00B85449">
            <w:pPr>
              <w:spacing w:after="0" w:line="240" w:lineRule="auto"/>
              <w:ind w:firstLine="360"/>
              <w:jc w:val="both"/>
              <w:rPr>
                <w:rFonts w:ascii="Times New Roman" w:eastAsia="Times New Roman" w:hAnsi="Times New Roman" w:cs="Times New Roman"/>
                <w:caps/>
                <w:spacing w:val="15"/>
                <w:sz w:val="24"/>
                <w:szCs w:val="24"/>
                <w:lang w:val="ro-RO" w:eastAsia="ru-RU"/>
              </w:rPr>
            </w:pPr>
          </w:p>
          <w:p w:rsidR="00B85449" w:rsidRPr="00B85449" w:rsidRDefault="00B85449" w:rsidP="00B85449">
            <w:pPr>
              <w:widowControl w:val="0"/>
              <w:autoSpaceDE w:val="0"/>
              <w:autoSpaceDN w:val="0"/>
              <w:adjustRightInd w:val="0"/>
              <w:spacing w:after="0" w:line="240" w:lineRule="auto"/>
              <w:jc w:val="both"/>
              <w:rPr>
                <w:rFonts w:ascii="Times New Roman" w:eastAsia="Times New Roman" w:hAnsi="Times New Roman" w:cs="Times New Roman"/>
                <w:sz w:val="24"/>
                <w:szCs w:val="24"/>
                <w:lang w:val="ro-RO" w:eastAsia="ru-RU"/>
              </w:rPr>
            </w:pPr>
          </w:p>
        </w:tc>
      </w:tr>
    </w:tbl>
    <w:p w:rsidR="00B85449" w:rsidRDefault="00B85449" w:rsidP="00B85449">
      <w:pPr>
        <w:rPr>
          <w:rFonts w:ascii="Times New Roman" w:eastAsia="Times New Roman" w:hAnsi="Times New Roman" w:cs="Times New Roman"/>
          <w:sz w:val="24"/>
          <w:szCs w:val="24"/>
          <w:lang w:val="ro-RO" w:eastAsia="ru-RU"/>
        </w:rPr>
      </w:pPr>
    </w:p>
    <w:tbl>
      <w:tblPr>
        <w:tblW w:w="5018" w:type="pct"/>
        <w:tblLook w:val="04A0" w:firstRow="1" w:lastRow="0" w:firstColumn="1" w:lastColumn="0" w:noHBand="0" w:noVBand="1"/>
      </w:tblPr>
      <w:tblGrid>
        <w:gridCol w:w="9321"/>
      </w:tblGrid>
      <w:tr w:rsidR="00B85449" w:rsidRPr="00B85449" w:rsidTr="00B85449">
        <w:tc>
          <w:tcPr>
            <w:tcW w:w="5000" w:type="pct"/>
            <w:shd w:val="clear" w:color="auto" w:fill="auto"/>
          </w:tcPr>
          <w:p w:rsidR="00B85449" w:rsidRPr="00B85449" w:rsidRDefault="00B85449" w:rsidP="00B85449">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2" w:name="_Toc177994781"/>
            <w:r w:rsidRPr="00B85449">
              <w:rPr>
                <w:rFonts w:ascii="Times New Roman" w:eastAsia="Times New Roman" w:hAnsi="Times New Roman" w:cs="Times New Roman"/>
                <w:b/>
                <w:spacing w:val="15"/>
                <w:sz w:val="24"/>
                <w:szCs w:val="24"/>
                <w:lang w:val="ro-RO" w:eastAsia="x-none"/>
              </w:rPr>
              <w:lastRenderedPageBreak/>
              <w:t>A.9.</w:t>
            </w:r>
            <w:r w:rsidRPr="00B85449">
              <w:rPr>
                <w:rFonts w:ascii="Times New Roman" w:eastAsia="Times New Roman" w:hAnsi="Times New Roman" w:cs="Times New Roman"/>
                <w:b/>
                <w:spacing w:val="-1"/>
                <w:sz w:val="24"/>
                <w:szCs w:val="24"/>
                <w:lang w:val="ro-RO" w:eastAsia="x-none"/>
              </w:rPr>
              <w:t xml:space="preserve"> Definiţiile </w:t>
            </w:r>
            <w:r w:rsidRPr="00B85449">
              <w:rPr>
                <w:rFonts w:ascii="Times New Roman" w:eastAsia="Times New Roman" w:hAnsi="Times New Roman" w:cs="Times New Roman"/>
                <w:b/>
                <w:spacing w:val="15"/>
                <w:sz w:val="24"/>
                <w:szCs w:val="24"/>
                <w:lang w:val="ro-RO" w:eastAsia="x-none"/>
              </w:rPr>
              <w:t>folosite</w:t>
            </w:r>
            <w:r w:rsidRPr="00B85449">
              <w:rPr>
                <w:rFonts w:ascii="Times New Roman" w:eastAsia="Times New Roman" w:hAnsi="Times New Roman" w:cs="Times New Roman"/>
                <w:b/>
                <w:spacing w:val="-1"/>
                <w:sz w:val="24"/>
                <w:szCs w:val="24"/>
                <w:lang w:val="ro-RO" w:eastAsia="x-none"/>
              </w:rPr>
              <w:t xml:space="preserve"> </w:t>
            </w:r>
            <w:r w:rsidRPr="00B85449">
              <w:rPr>
                <w:rFonts w:ascii="Times New Roman" w:eastAsia="Times New Roman" w:hAnsi="Times New Roman" w:cs="Times New Roman"/>
                <w:b/>
                <w:spacing w:val="15"/>
                <w:sz w:val="24"/>
                <w:szCs w:val="24"/>
                <w:lang w:val="ro-RO" w:eastAsia="x-none"/>
              </w:rPr>
              <w:t>în</w:t>
            </w:r>
            <w:r w:rsidRPr="00B85449">
              <w:rPr>
                <w:rFonts w:ascii="Times New Roman" w:eastAsia="Times New Roman" w:hAnsi="Times New Roman" w:cs="Times New Roman"/>
                <w:b/>
                <w:spacing w:val="4"/>
                <w:sz w:val="24"/>
                <w:szCs w:val="24"/>
                <w:lang w:val="ro-RO" w:eastAsia="x-none"/>
              </w:rPr>
              <w:t xml:space="preserve"> </w:t>
            </w:r>
            <w:r w:rsidRPr="00B85449">
              <w:rPr>
                <w:rFonts w:ascii="Times New Roman" w:eastAsia="Times New Roman" w:hAnsi="Times New Roman" w:cs="Times New Roman"/>
                <w:b/>
                <w:spacing w:val="15"/>
                <w:sz w:val="24"/>
                <w:szCs w:val="24"/>
                <w:lang w:val="ro-RO" w:eastAsia="x-none"/>
              </w:rPr>
              <w:t>document</w:t>
            </w:r>
            <w:bookmarkEnd w:id="12"/>
          </w:p>
          <w:p w:rsidR="00B85449" w:rsidRPr="00B85449" w:rsidRDefault="00B85449" w:rsidP="004E2582">
            <w:pPr>
              <w:widowControl w:val="0"/>
              <w:numPr>
                <w:ilvl w:val="0"/>
                <w:numId w:val="32"/>
              </w:numPr>
              <w:kinsoku w:val="0"/>
              <w:overflowPunct w:val="0"/>
              <w:autoSpaceDE w:val="0"/>
              <w:autoSpaceDN w:val="0"/>
              <w:adjustRightInd w:val="0"/>
              <w:spacing w:after="0" w:line="240" w:lineRule="auto"/>
              <w:ind w:left="357" w:hanging="357"/>
              <w:jc w:val="both"/>
              <w:rPr>
                <w:rFonts w:ascii="Times New Roman" w:eastAsia="Times New Roman" w:hAnsi="Times New Roman" w:cs="Times New Roman"/>
                <w:spacing w:val="-2"/>
                <w:sz w:val="24"/>
                <w:szCs w:val="24"/>
                <w:lang w:val="ro-RO"/>
              </w:rPr>
            </w:pPr>
            <w:r w:rsidRPr="00B85449">
              <w:rPr>
                <w:rFonts w:ascii="Times New Roman" w:eastAsia="Times New Roman" w:hAnsi="Times New Roman" w:cs="Times New Roman"/>
                <w:sz w:val="24"/>
                <w:szCs w:val="24"/>
                <w:lang w:val="ro-RO" w:eastAsia="ru-RU"/>
              </w:rPr>
              <w:t xml:space="preserve">Hepatită virală C cronică, ARN-HCV 50000 U/ml, genotip 1b, activitate înaltă, stadiu de fibroză F2, scor Metavir (rigiditatea ficatului 8,8 kPa, determinată prin elastografie </w:t>
            </w:r>
            <w:r w:rsidRPr="00B85449">
              <w:rPr>
                <w:rFonts w:ascii="Times New Roman" w:eastAsia="Times New Roman" w:hAnsi="Times New Roman" w:cs="Times New Roman"/>
                <w:color w:val="232323"/>
                <w:sz w:val="24"/>
                <w:szCs w:val="24"/>
                <w:shd w:val="clear" w:color="auto" w:fill="FFFFFF"/>
                <w:lang w:val="ro-RO" w:eastAsia="ru-RU"/>
              </w:rPr>
              <w:t>bidimensională (2D)</w:t>
            </w:r>
            <w:r w:rsidRPr="00B85449">
              <w:rPr>
                <w:rFonts w:ascii="Times New Roman" w:eastAsia="Times New Roman" w:hAnsi="Times New Roman" w:cs="Times New Roman"/>
                <w:sz w:val="24"/>
                <w:szCs w:val="24"/>
                <w:lang w:val="ro-RO" w:eastAsia="ru-RU"/>
              </w:rPr>
              <w:t xml:space="preserve"> cu undă de forfecare (SWE).</w:t>
            </w:r>
          </w:p>
          <w:p w:rsidR="00B85449" w:rsidRPr="00B85449" w:rsidRDefault="00B85449" w:rsidP="004E2582">
            <w:pPr>
              <w:numPr>
                <w:ilvl w:val="0"/>
                <w:numId w:val="32"/>
              </w:numPr>
              <w:spacing w:after="0" w:line="240" w:lineRule="auto"/>
              <w:ind w:left="357" w:hanging="357"/>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Hepatită virală C cronică, genotip 1a, activitate minimală, stadiu de fibroză F3, scor Metavir, (rigiditatea ficatului 9,7 kPa, determinată prin elastografie tranzitorie), cu manifestări extrahepatice: vasculită crioglobulinemică secundară, forma tegumentară.</w:t>
            </w:r>
          </w:p>
          <w:p w:rsidR="00B85449" w:rsidRPr="00B85449" w:rsidRDefault="00B85449" w:rsidP="004E2582">
            <w:pPr>
              <w:numPr>
                <w:ilvl w:val="0"/>
                <w:numId w:val="32"/>
              </w:numPr>
              <w:spacing w:after="0" w:line="240" w:lineRule="auto"/>
              <w:ind w:left="357" w:hanging="357"/>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Ciroză hepatică de etiologie virală C, ARN-HCV 25000 U/ml, faza activă, evoluție progresivă, decompensată portal (ascită) și parenchimatos (insuficiență hepatocelulară cronică), stadiul Child-Pugh C (12 puncte), scorul MELD – 28 puncte. Hipersplenism, grad 3.</w:t>
            </w:r>
          </w:p>
        </w:tc>
      </w:tr>
      <w:tr w:rsidR="00B85449" w:rsidRPr="00D645AA" w:rsidTr="00B85449">
        <w:trPr>
          <w:trHeight w:val="1985"/>
        </w:trPr>
        <w:tc>
          <w:tcPr>
            <w:tcW w:w="5000" w:type="pct"/>
            <w:shd w:val="clear" w:color="auto" w:fill="auto"/>
          </w:tcPr>
          <w:p w:rsidR="00B85449" w:rsidRPr="00B85449" w:rsidRDefault="00B85449" w:rsidP="00B85449">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47"/>
                <w:sz w:val="24"/>
                <w:szCs w:val="24"/>
                <w:lang w:val="ro-RO" w:eastAsia="x-none"/>
              </w:rPr>
            </w:pPr>
            <w:bookmarkStart w:id="13" w:name="_Toc177994782"/>
            <w:r w:rsidRPr="00B85449">
              <w:rPr>
                <w:rFonts w:ascii="Times New Roman" w:eastAsia="Times New Roman" w:hAnsi="Times New Roman" w:cs="Times New Roman"/>
                <w:b/>
                <w:spacing w:val="15"/>
                <w:sz w:val="24"/>
                <w:szCs w:val="24"/>
                <w:lang w:val="ro-RO" w:eastAsia="x-none"/>
              </w:rPr>
              <w:t>A.10.</w:t>
            </w:r>
            <w:r w:rsidRPr="00B85449">
              <w:rPr>
                <w:rFonts w:ascii="Times New Roman" w:eastAsia="Times New Roman" w:hAnsi="Times New Roman" w:cs="Times New Roman"/>
                <w:b/>
                <w:spacing w:val="42"/>
                <w:sz w:val="24"/>
                <w:szCs w:val="24"/>
                <w:lang w:val="ro-RO" w:eastAsia="x-none"/>
              </w:rPr>
              <w:t xml:space="preserve"> </w:t>
            </w:r>
            <w:r w:rsidRPr="00B85449">
              <w:rPr>
                <w:rFonts w:ascii="Times New Roman" w:eastAsia="Times New Roman" w:hAnsi="Times New Roman" w:cs="Times New Roman"/>
                <w:b/>
                <w:spacing w:val="15"/>
                <w:sz w:val="24"/>
                <w:szCs w:val="24"/>
                <w:lang w:val="ro-RO" w:eastAsia="x-none"/>
              </w:rPr>
              <w:t>Epidemiologia și transmiterea infecției cu virusul hepatitei C</w:t>
            </w:r>
            <w:bookmarkEnd w:id="13"/>
          </w:p>
          <w:p w:rsidR="00B85449" w:rsidRPr="00B85449" w:rsidRDefault="00B85449" w:rsidP="00B85449">
            <w:pPr>
              <w:shd w:val="clear" w:color="auto" w:fill="FFFFFF"/>
              <w:spacing w:after="0" w:line="240" w:lineRule="auto"/>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b/>
                <w:bCs/>
                <w:color w:val="232323"/>
                <w:sz w:val="24"/>
                <w:szCs w:val="24"/>
                <w:lang w:val="ro-RO" w:eastAsia="ru-RU"/>
              </w:rPr>
              <w:t>Epidemiologie.</w:t>
            </w:r>
            <w:r w:rsidRPr="00B85449">
              <w:rPr>
                <w:rFonts w:ascii="Times New Roman" w:eastAsia="Times New Roman" w:hAnsi="Times New Roman" w:cs="Times New Roman"/>
                <w:color w:val="232323"/>
                <w:sz w:val="24"/>
                <w:szCs w:val="24"/>
                <w:lang w:val="ro-RO" w:eastAsia="ru-RU"/>
              </w:rPr>
              <w:t xml:space="preserve"> Estimările precise ale prevalenței globale a VHC sunt dificil de stabilit din cauza diagnosticului insuficient, raportării insuficiente și a lipsei de supraveghere sistematică în majoritatea țărilor. </w:t>
            </w:r>
            <w:bookmarkStart w:id="14" w:name="_Hlk153482799"/>
            <w:r w:rsidRPr="00B85449">
              <w:rPr>
                <w:rFonts w:ascii="Times New Roman" w:eastAsia="Times New Roman" w:hAnsi="Times New Roman" w:cs="Times New Roman"/>
                <w:color w:val="232323"/>
                <w:sz w:val="24"/>
                <w:szCs w:val="24"/>
                <w:lang w:val="ro-RO" w:eastAsia="ru-RU"/>
              </w:rPr>
              <w:t>În 2023, Organizația Mondială a Sănătății (OMS) a raportat că aproximativ 58 de milioane de oameni au infecție cronică cu VHC, cu aproximativ 1,5 milioane de infecții noi pe an, printre persoanele 30–54 de ani și e</w:t>
            </w:r>
            <w:r w:rsidRPr="00B85449">
              <w:rPr>
                <w:rFonts w:ascii="Times New Roman" w:eastAsia="Times New Roman" w:hAnsi="Times New Roman" w:cs="Times New Roman"/>
                <w:sz w:val="24"/>
                <w:szCs w:val="24"/>
                <w:shd w:val="clear" w:color="auto" w:fill="FFFFFF"/>
                <w:lang w:val="ro-RO" w:eastAsia="ru-RU"/>
              </w:rPr>
              <w:t>xistă aproximativ 3,2 milioane de adolescenți și copii cu infecție cronică cu hepatită virală C</w:t>
            </w:r>
            <w:r w:rsidRPr="00B85449">
              <w:rPr>
                <w:rFonts w:ascii="Times New Roman" w:eastAsia="Times New Roman" w:hAnsi="Times New Roman" w:cs="Times New Roman"/>
                <w:sz w:val="24"/>
                <w:szCs w:val="24"/>
                <w:lang w:val="ro-RO" w:eastAsia="ru-RU"/>
              </w:rPr>
              <w:t xml:space="preserve"> </w:t>
            </w:r>
            <w:bookmarkEnd w:id="14"/>
            <w:r w:rsidRPr="00B85449">
              <w:rPr>
                <w:rFonts w:ascii="Times New Roman" w:eastAsia="Times New Roman" w:hAnsi="Times New Roman" w:cs="Times New Roman"/>
                <w:color w:val="232323"/>
                <w:sz w:val="24"/>
                <w:szCs w:val="24"/>
                <w:lang w:val="ro-RO" w:eastAsia="ru-RU"/>
              </w:rPr>
              <w:t xml:space="preserve">[42, 50]. </w:t>
            </w:r>
            <w:r w:rsidRPr="00B85449">
              <w:rPr>
                <w:rFonts w:ascii="Times New Roman" w:eastAsia="Times New Roman" w:hAnsi="Times New Roman" w:cs="Times New Roman"/>
                <w:sz w:val="24"/>
                <w:szCs w:val="24"/>
                <w:lang w:val="ro-RO" w:eastAsia="ru-RU"/>
              </w:rPr>
              <w:t>OMS a estimat că în 2019, aproximativ 290 000 de persoane au decedat din cauza hepatitei C, mai ales din cauza cirozei și a carcinomului hepatocelular (cancer primar de ficat)</w:t>
            </w:r>
            <w:r w:rsidRPr="00B85449">
              <w:rPr>
                <w:rFonts w:ascii="Times New Roman" w:eastAsia="Times New Roman" w:hAnsi="Times New Roman" w:cs="Times New Roman"/>
                <w:color w:val="232323"/>
                <w:sz w:val="24"/>
                <w:szCs w:val="24"/>
                <w:lang w:val="ro-RO" w:eastAsia="ru-RU"/>
              </w:rPr>
              <w:t xml:space="preserve"> [</w:t>
            </w:r>
            <w:r w:rsidRPr="00B85449">
              <w:rPr>
                <w:rFonts w:ascii="Times New Roman" w:eastAsia="Times New Roman" w:hAnsi="Times New Roman" w:cs="Times New Roman"/>
                <w:color w:val="232323"/>
                <w:sz w:val="24"/>
                <w:szCs w:val="24"/>
                <w:shd w:val="clear" w:color="auto" w:fill="FFFFFF"/>
                <w:lang w:val="ro-RO" w:eastAsia="ru-RU"/>
              </w:rPr>
              <w:t>42</w:t>
            </w:r>
            <w:r w:rsidRPr="00B85449">
              <w:rPr>
                <w:rFonts w:ascii="Times New Roman" w:eastAsia="Times New Roman" w:hAnsi="Times New Roman" w:cs="Times New Roman"/>
                <w:color w:val="232323"/>
                <w:sz w:val="24"/>
                <w:szCs w:val="24"/>
                <w:lang w:val="ro-RO" w:eastAsia="ru-RU"/>
              </w:rPr>
              <w:t xml:space="preserve">]. </w:t>
            </w:r>
          </w:p>
          <w:p w:rsidR="00B85449" w:rsidRPr="00B85449" w:rsidRDefault="00B85449" w:rsidP="00B85449">
            <w:pPr>
              <w:spacing w:after="0" w:line="240" w:lineRule="auto"/>
              <w:jc w:val="both"/>
              <w:rPr>
                <w:rFonts w:ascii="Times New Roman" w:eastAsia="Times New Roman" w:hAnsi="Times New Roman" w:cs="Times New Roman"/>
                <w:color w:val="232323"/>
                <w:sz w:val="24"/>
                <w:szCs w:val="24"/>
                <w:lang w:val="ro-RO" w:eastAsia="ru-RU"/>
              </w:rPr>
            </w:pPr>
            <w:r w:rsidRPr="00B85449">
              <w:rPr>
                <w:rFonts w:ascii="Times New Roman" w:eastAsia="Times New Roman" w:hAnsi="Times New Roman" w:cs="Times New Roman"/>
                <w:color w:val="232323"/>
                <w:sz w:val="24"/>
                <w:szCs w:val="24"/>
                <w:shd w:val="clear" w:color="auto" w:fill="FFFFFF"/>
                <w:lang w:val="ro-RO" w:eastAsia="ru-RU"/>
              </w:rPr>
              <w:t xml:space="preserve">Prevalența infecției cronice în </w:t>
            </w:r>
            <w:r w:rsidRPr="00B85449">
              <w:rPr>
                <w:rFonts w:ascii="Times New Roman" w:eastAsia="Times New Roman" w:hAnsi="Times New Roman" w:cs="Times New Roman"/>
                <w:color w:val="232323"/>
                <w:sz w:val="24"/>
                <w:szCs w:val="24"/>
                <w:lang w:val="ro-RO" w:eastAsia="ru-RU"/>
              </w:rPr>
              <w:t>Europa: povara infecției cu VHC în Europa este substanțială. În 2022, Centrul European pentru Prevenirea și Controlul Bolilor (ECDC) a estimat că în regiune existau 2,4 milioane de persoane cu infecție cronică cu VHC, cu avertismentul că datele de supraveghere sunt incomplete</w:t>
            </w:r>
          </w:p>
          <w:p w:rsidR="00B85449" w:rsidRPr="00B85449" w:rsidRDefault="00B85449" w:rsidP="00B85449">
            <w:pPr>
              <w:spacing w:after="0" w:line="240" w:lineRule="auto"/>
              <w:jc w:val="both"/>
              <w:rPr>
                <w:rFonts w:ascii="Times New Roman" w:eastAsia="Times New Roman" w:hAnsi="Times New Roman" w:cs="Times New Roman"/>
                <w:color w:val="232323"/>
                <w:sz w:val="24"/>
                <w:szCs w:val="24"/>
                <w:lang w:val="ro-RO" w:eastAsia="ru-RU"/>
              </w:rPr>
            </w:pPr>
            <w:r w:rsidRPr="00B85449">
              <w:rPr>
                <w:rFonts w:ascii="Times New Roman" w:eastAsia="Times New Roman" w:hAnsi="Times New Roman" w:cs="Times New Roman"/>
                <w:color w:val="232323"/>
                <w:sz w:val="24"/>
                <w:szCs w:val="24"/>
                <w:lang w:val="ro-RO" w:eastAsia="ru-RU"/>
              </w:rPr>
              <w:t>[20</w:t>
            </w:r>
            <w:hyperlink r:id="rId23" w:history="1">
              <w:r w:rsidRPr="00B85449">
                <w:rPr>
                  <w:rFonts w:ascii="Times New Roman" w:eastAsia="Times New Roman" w:hAnsi="Times New Roman" w:cs="Times New Roman"/>
                  <w:sz w:val="24"/>
                  <w:szCs w:val="24"/>
                  <w:u w:val="single"/>
                  <w:lang w:val="ro-RO" w:eastAsia="ru-RU"/>
                </w:rPr>
                <w:t>]</w:t>
              </w:r>
            </w:hyperlink>
            <w:r w:rsidRPr="00B85449">
              <w:rPr>
                <w:rFonts w:ascii="Times New Roman" w:eastAsia="Times New Roman" w:hAnsi="Times New Roman" w:cs="Times New Roman"/>
                <w:color w:val="232323"/>
                <w:sz w:val="24"/>
                <w:szCs w:val="24"/>
                <w:lang w:val="ro-RO" w:eastAsia="ru-RU"/>
              </w:rPr>
              <w:t xml:space="preserve"> . S-a estimat că mai multe țări din Europa de Est au o prevalență mai mare de 1%, inclusiv România, Bulgaria, Lituania și Estonia.</w:t>
            </w:r>
          </w:p>
          <w:p w:rsidR="00B85449" w:rsidRPr="00B85449" w:rsidRDefault="00B85449" w:rsidP="00B85449">
            <w:pPr>
              <w:shd w:val="clear" w:color="auto" w:fill="FFFFFF"/>
              <w:spacing w:after="0" w:line="240" w:lineRule="auto"/>
              <w:jc w:val="both"/>
              <w:rPr>
                <w:rFonts w:ascii="Times New Roman" w:eastAsia="Times New Roman" w:hAnsi="Times New Roman" w:cs="Times New Roman"/>
                <w:color w:val="232323"/>
                <w:sz w:val="24"/>
                <w:szCs w:val="24"/>
                <w:lang w:val="ro-RO" w:eastAsia="ru-RU"/>
              </w:rPr>
            </w:pPr>
            <w:r w:rsidRPr="00B85449">
              <w:rPr>
                <w:rFonts w:ascii="Times New Roman" w:eastAsia="Times New Roman" w:hAnsi="Times New Roman" w:cs="Times New Roman"/>
                <w:color w:val="232323"/>
                <w:sz w:val="24"/>
                <w:szCs w:val="24"/>
                <w:lang w:val="ro-RO" w:eastAsia="ru-RU"/>
              </w:rPr>
              <w:t>Rata noilor diagnostice de VHC în Europa este de aproximativ de două ori mai mare în rândul bărbaților decât în rândul femeilor și atinge vârfuri la vârste cuprinse între 25 și 44 de ani [</w:t>
            </w:r>
            <w:r w:rsidRPr="00B85449">
              <w:rPr>
                <w:rFonts w:ascii="Times New Roman" w:eastAsia="Times New Roman" w:hAnsi="Times New Roman" w:cs="Times New Roman"/>
                <w:color w:val="232323"/>
                <w:sz w:val="24"/>
                <w:szCs w:val="24"/>
                <w:shd w:val="clear" w:color="auto" w:fill="FFFFFF"/>
                <w:lang w:val="ro-RO" w:eastAsia="ru-RU"/>
              </w:rPr>
              <w:t>3].</w:t>
            </w:r>
          </w:p>
          <w:p w:rsidR="00B85449" w:rsidRPr="00B85449" w:rsidRDefault="00B85449" w:rsidP="00B85449">
            <w:pPr>
              <w:shd w:val="clear" w:color="auto" w:fill="FFFFFF"/>
              <w:spacing w:after="0" w:line="240" w:lineRule="auto"/>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b/>
                <w:bCs/>
                <w:sz w:val="24"/>
                <w:szCs w:val="24"/>
                <w:lang w:val="ro-RO"/>
              </w:rPr>
              <w:t xml:space="preserve">Genotipurile VHC: </w:t>
            </w:r>
            <w:r w:rsidRPr="00B85449">
              <w:rPr>
                <w:rFonts w:ascii="Times New Roman" w:eastAsia="Times New Roman" w:hAnsi="Times New Roman" w:cs="Times New Roman"/>
                <w:sz w:val="24"/>
                <w:szCs w:val="24"/>
                <w:lang w:val="ro-RO"/>
              </w:rPr>
              <w:t>au fost definite șase genotipuri majore ale VHC, cu mai mult de 50 de subtipuri descrise; cele mai comune subtipuri sunt 1a, 1b, 2a și 2b. Izolatele virale sporadice distincte de toate celelalte au fost clasificate ca al șaptelea și al optulea genotip [</w:t>
            </w:r>
            <w:hyperlink r:id="rId24" w:history="1">
              <w:r w:rsidRPr="00B85449">
                <w:rPr>
                  <w:rFonts w:ascii="Times New Roman" w:eastAsia="Times New Roman" w:hAnsi="Times New Roman" w:cs="Times New Roman"/>
                  <w:sz w:val="24"/>
                  <w:szCs w:val="24"/>
                  <w:shd w:val="clear" w:color="auto" w:fill="FFFFFF"/>
                  <w:lang w:val="ro-RO"/>
                </w:rPr>
                <w:t>19</w:t>
              </w:r>
            </w:hyperlink>
            <w:r w:rsidRPr="00B85449">
              <w:rPr>
                <w:rFonts w:ascii="Times New Roman" w:eastAsia="Times New Roman" w:hAnsi="Times New Roman" w:cs="Times New Roman"/>
                <w:sz w:val="24"/>
                <w:szCs w:val="24"/>
                <w:lang w:val="ro-RO"/>
              </w:rPr>
              <w:t>].</w:t>
            </w:r>
          </w:p>
          <w:p w:rsidR="00B85449" w:rsidRPr="00B85449" w:rsidRDefault="00B85449" w:rsidP="00B85449">
            <w:pPr>
              <w:shd w:val="clear" w:color="auto" w:fill="FFFFFF"/>
              <w:spacing w:after="0" w:line="240" w:lineRule="auto"/>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Există o distribuție geografică distinctă a genotipurilor VHC [22].</w:t>
            </w:r>
          </w:p>
          <w:p w:rsidR="00B85449" w:rsidRPr="00B85449" w:rsidRDefault="00B85449" w:rsidP="004E2582">
            <w:pPr>
              <w:shd w:val="clear" w:color="auto" w:fill="FFFFFF"/>
              <w:spacing w:after="0" w:line="240" w:lineRule="auto"/>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Genotipul 1 este cel mai frecvent (60 până la 75 la sută din izolate) în Statele Unite, America Latină și Europa.</w:t>
            </w:r>
          </w:p>
          <w:p w:rsidR="00B85449" w:rsidRPr="00B85449" w:rsidRDefault="00B85449" w:rsidP="004E2582">
            <w:pPr>
              <w:numPr>
                <w:ilvl w:val="0"/>
                <w:numId w:val="39"/>
              </w:numPr>
              <w:shd w:val="clear" w:color="auto" w:fill="FFFFFF"/>
              <w:spacing w:after="0" w:line="240" w:lineRule="auto"/>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sz w:val="24"/>
                <w:szCs w:val="24"/>
                <w:lang w:val="ro-RO"/>
              </w:rPr>
              <w:t>Genotipul 3 este cel mai frecvent în Asia de Sud (de exemplu, India) și Australia.</w:t>
            </w:r>
          </w:p>
          <w:p w:rsidR="00B85449" w:rsidRPr="00B85449" w:rsidRDefault="00B85449" w:rsidP="004E2582">
            <w:pPr>
              <w:numPr>
                <w:ilvl w:val="0"/>
                <w:numId w:val="39"/>
              </w:numPr>
              <w:shd w:val="clear" w:color="auto" w:fill="FFFFFF"/>
              <w:spacing w:after="0" w:line="240" w:lineRule="auto"/>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sz w:val="24"/>
                <w:szCs w:val="24"/>
                <w:lang w:val="ro-RO"/>
              </w:rPr>
              <w:t>Genotipul 4 este cel mai frecvent în Africa și Orientul Mijlociu și pare să apară mai frecvent în Europa printre persoanele care se injectează droguri și bărbații care fac sex cu bărbați.</w:t>
            </w:r>
          </w:p>
          <w:p w:rsidR="00B85449" w:rsidRPr="00B85449" w:rsidRDefault="00B85449" w:rsidP="004E2582">
            <w:pPr>
              <w:numPr>
                <w:ilvl w:val="0"/>
                <w:numId w:val="39"/>
              </w:numPr>
              <w:shd w:val="clear" w:color="auto" w:fill="FFFFFF"/>
              <w:spacing w:after="0" w:line="240" w:lineRule="auto"/>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sz w:val="24"/>
                <w:szCs w:val="24"/>
                <w:lang w:val="ro-RO"/>
              </w:rPr>
              <w:t>Genotipul 5 este cel mai frecvent în Africa de Sud.</w:t>
            </w:r>
          </w:p>
          <w:p w:rsidR="00B85449" w:rsidRPr="00B85449" w:rsidRDefault="00B85449" w:rsidP="004E2582">
            <w:pPr>
              <w:numPr>
                <w:ilvl w:val="0"/>
                <w:numId w:val="39"/>
              </w:numPr>
              <w:shd w:val="clear" w:color="auto" w:fill="FFFFFF"/>
              <w:spacing w:after="0" w:line="240" w:lineRule="auto"/>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sz w:val="24"/>
                <w:szCs w:val="24"/>
                <w:lang w:val="ro-RO"/>
              </w:rPr>
              <w:t>Genotipul 6 este cel mai frecvent în Hong Kong și Vietnam.</w:t>
            </w:r>
          </w:p>
          <w:p w:rsidR="00B85449" w:rsidRPr="00B85449" w:rsidRDefault="00B85449" w:rsidP="00B85449">
            <w:pPr>
              <w:spacing w:before="100"/>
              <w:rPr>
                <w:rFonts w:ascii="Times New Roman" w:eastAsia="Times New Roman" w:hAnsi="Times New Roman" w:cs="Times New Roman"/>
                <w:sz w:val="24"/>
                <w:szCs w:val="20"/>
                <w:lang w:val="ro-RO" w:eastAsia="ru-RU"/>
              </w:rPr>
            </w:pPr>
            <w:r w:rsidRPr="00B85449">
              <w:rPr>
                <w:rFonts w:ascii="Times New Roman" w:eastAsia="Times New Roman" w:hAnsi="Times New Roman" w:cs="Times New Roman"/>
                <w:b/>
                <w:bCs/>
                <w:sz w:val="24"/>
                <w:szCs w:val="20"/>
                <w:lang w:val="ro-RO" w:eastAsia="ru-RU"/>
              </w:rPr>
              <w:t>Transmiterea VHC</w:t>
            </w:r>
          </w:p>
          <w:p w:rsidR="00B85449" w:rsidRPr="00B85449" w:rsidRDefault="00B85449" w:rsidP="004E2582">
            <w:pPr>
              <w:spacing w:after="0" w:line="240" w:lineRule="auto"/>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Virusul hepatitei C este un virus transmis prin sânge. Cel mai frecvent se transmite prin:</w:t>
            </w:r>
          </w:p>
          <w:p w:rsidR="00B85449" w:rsidRPr="00B85449" w:rsidRDefault="00B85449" w:rsidP="004E2582">
            <w:pPr>
              <w:numPr>
                <w:ilvl w:val="0"/>
                <w:numId w:val="120"/>
              </w:numPr>
              <w:shd w:val="clear" w:color="auto" w:fill="FFFFFF"/>
              <w:spacing w:after="0" w:line="240" w:lineRule="auto"/>
              <w:ind w:left="426" w:hanging="426"/>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reutilizarea sau sterilizarea inadecvată a echipamentelor medicale, în special a seringilor și acelor, în instituțiile medicale</w:t>
            </w:r>
          </w:p>
          <w:p w:rsidR="00B85449" w:rsidRPr="00B85449" w:rsidRDefault="00B85449" w:rsidP="004E2582">
            <w:pPr>
              <w:numPr>
                <w:ilvl w:val="0"/>
                <w:numId w:val="36"/>
              </w:numPr>
              <w:shd w:val="clear" w:color="auto" w:fill="FFFFFF"/>
              <w:tabs>
                <w:tab w:val="left" w:pos="5345"/>
              </w:tabs>
              <w:spacing w:after="0" w:line="240" w:lineRule="auto"/>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transfuzia de sânge și produse sanguine nescreenizate</w:t>
            </w:r>
          </w:p>
          <w:p w:rsidR="00B85449" w:rsidRPr="00B85449" w:rsidRDefault="00B85449" w:rsidP="004E2582">
            <w:pPr>
              <w:numPr>
                <w:ilvl w:val="0"/>
                <w:numId w:val="36"/>
              </w:numPr>
              <w:shd w:val="clear" w:color="auto" w:fill="FFFFFF"/>
              <w:tabs>
                <w:tab w:val="left" w:pos="5345"/>
              </w:tabs>
              <w:spacing w:after="0" w:line="240" w:lineRule="auto"/>
              <w:jc w:val="both"/>
              <w:rPr>
                <w:rFonts w:ascii="Times New Roman" w:eastAsia="Times New Roman" w:hAnsi="Times New Roman" w:cs="Times New Roman"/>
                <w:sz w:val="24"/>
                <w:szCs w:val="24"/>
                <w:lang w:val="ro-RO" w:eastAsia="ru-RU"/>
              </w:rPr>
            </w:pPr>
            <w:r w:rsidRPr="00B85449">
              <w:rPr>
                <w:rFonts w:ascii="Times New Roman" w:eastAsia="Times New Roman" w:hAnsi="Times New Roman" w:cs="Times New Roman"/>
                <w:sz w:val="24"/>
                <w:szCs w:val="24"/>
                <w:lang w:val="ro-RO" w:eastAsia="ru-RU"/>
              </w:rPr>
              <w:t>consumul de droguri injectabile prin partajarea echipamentului de injectare.</w:t>
            </w:r>
          </w:p>
          <w:p w:rsidR="00B85449" w:rsidRPr="00B85449" w:rsidRDefault="00B85449" w:rsidP="004E2582">
            <w:pPr>
              <w:numPr>
                <w:ilvl w:val="0"/>
                <w:numId w:val="35"/>
              </w:numPr>
              <w:shd w:val="clear" w:color="auto" w:fill="FFFFFF"/>
              <w:spacing w:after="0" w:line="240" w:lineRule="auto"/>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b/>
                <w:bCs/>
                <w:sz w:val="24"/>
                <w:szCs w:val="24"/>
                <w:lang w:val="ro-RO"/>
              </w:rPr>
              <w:t xml:space="preserve">Transmiterea sexuală </w:t>
            </w:r>
            <w:r w:rsidRPr="00B85449">
              <w:rPr>
                <w:rFonts w:ascii="Times New Roman" w:eastAsia="Times New Roman" w:hAnsi="Times New Roman" w:cs="Times New Roman"/>
                <w:sz w:val="24"/>
                <w:szCs w:val="24"/>
                <w:lang w:val="ro-RO"/>
              </w:rPr>
              <w:t xml:space="preserve">– Transmiterea sexuală a VHC poate avea loc, dar riscul de </w:t>
            </w:r>
            <w:r w:rsidRPr="00B85449">
              <w:rPr>
                <w:rFonts w:ascii="Times New Roman" w:eastAsia="Times New Roman" w:hAnsi="Times New Roman" w:cs="Times New Roman"/>
                <w:sz w:val="24"/>
                <w:szCs w:val="24"/>
                <w:lang w:val="ro-RO"/>
              </w:rPr>
              <w:lastRenderedPageBreak/>
              <w:t>transmitere între partenerii sexuali monogami este extrem de scăzut. Riscul de transmitere sexuală este mai mare în rândul bărbaților care fac sex cu bărbați (BSB), în special în rândul celor care au și infecție cu HIV, din cauza diferențelor în practica sexuală care implică un risc mai mare de traumă și expunere la sânge.</w:t>
            </w:r>
          </w:p>
          <w:p w:rsidR="00B85449" w:rsidRPr="00B85449" w:rsidRDefault="00B85449" w:rsidP="004E2582">
            <w:pPr>
              <w:numPr>
                <w:ilvl w:val="0"/>
                <w:numId w:val="35"/>
              </w:numPr>
              <w:shd w:val="clear" w:color="auto" w:fill="FFFFFF"/>
              <w:spacing w:after="0" w:line="240" w:lineRule="auto"/>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sz w:val="24"/>
                <w:szCs w:val="24"/>
                <w:lang w:val="ro-RO"/>
              </w:rPr>
              <w:t xml:space="preserve">Transmiterea verticală a virusului hepatitei C (VHC) are loc exclusiv în rândul femeilor cu ARN HCV detectabil în sânge. Rata de transmitere este de aproximativ 5% în rândul femeilor monoinfectate cu VHC și de aproximativ 10% în rândul femeilor coinfectate cu VHC/HIV. </w:t>
            </w:r>
          </w:p>
          <w:p w:rsidR="00B85449" w:rsidRPr="00B85449" w:rsidRDefault="00B85449" w:rsidP="004E2582">
            <w:pPr>
              <w:numPr>
                <w:ilvl w:val="0"/>
                <w:numId w:val="37"/>
              </w:numPr>
              <w:shd w:val="clear" w:color="auto" w:fill="FFFFFF"/>
              <w:spacing w:after="0" w:line="240" w:lineRule="auto"/>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i/>
                <w:iCs/>
                <w:sz w:val="24"/>
                <w:szCs w:val="24"/>
                <w:lang w:val="ro-RO"/>
              </w:rPr>
              <w:t>Factori de risc</w:t>
            </w:r>
            <w:r w:rsidRPr="00B85449">
              <w:rPr>
                <w:rFonts w:ascii="Times New Roman" w:eastAsia="Times New Roman" w:hAnsi="Times New Roman" w:cs="Times New Roman"/>
                <w:sz w:val="24"/>
                <w:szCs w:val="24"/>
                <w:lang w:val="ro-RO"/>
              </w:rPr>
              <w:t xml:space="preserve"> – Pe lângă coinfecția cu HIV, alți factori de risc pentru transmitere includ încărcătura virală ridicată cu VHC, antecedente de consum de droguri intravenoase și infecția cu VHC a celulelor mononucleare din sângele periferic. Ruptura prelungită a membranelor și efectuarea procedurilor obstetricale, cum ar fi monitorizarea scalpului fetal, pot fi, de asemenea, asociate cu transmiterea verticală. Atunci când este posibil, procedurile obstetricale trebuie evitate la femeile cu VHC.</w:t>
            </w:r>
          </w:p>
          <w:p w:rsidR="00B85449" w:rsidRPr="00B85449" w:rsidRDefault="00B85449" w:rsidP="004E2582">
            <w:pPr>
              <w:widowControl w:val="0"/>
              <w:numPr>
                <w:ilvl w:val="0"/>
                <w:numId w:val="38"/>
              </w:numPr>
              <w:shd w:val="clear" w:color="auto" w:fill="FFFFFF"/>
              <w:autoSpaceDE w:val="0"/>
              <w:autoSpaceDN w:val="0"/>
              <w:adjustRightInd w:val="0"/>
              <w:spacing w:after="0" w:line="240" w:lineRule="auto"/>
              <w:ind w:left="360" w:hanging="357"/>
              <w:jc w:val="both"/>
              <w:rPr>
                <w:rFonts w:ascii="Times New Roman" w:eastAsia="Times New Roman" w:hAnsi="Times New Roman" w:cs="Times New Roman"/>
                <w:sz w:val="24"/>
                <w:szCs w:val="24"/>
                <w:lang w:val="ro-RO"/>
              </w:rPr>
            </w:pPr>
            <w:r w:rsidRPr="00B85449">
              <w:rPr>
                <w:rFonts w:ascii="Times New Roman" w:eastAsia="Times New Roman" w:hAnsi="Times New Roman" w:cs="Times New Roman"/>
                <w:i/>
                <w:iCs/>
                <w:sz w:val="24"/>
                <w:szCs w:val="24"/>
                <w:lang w:val="ro-RO"/>
              </w:rPr>
              <w:t>Factori care nu sunt asociați cu transmiterea verticală</w:t>
            </w:r>
            <w:r w:rsidRPr="00B85449">
              <w:rPr>
                <w:rFonts w:ascii="Times New Roman" w:eastAsia="Times New Roman" w:hAnsi="Times New Roman" w:cs="Times New Roman"/>
                <w:sz w:val="24"/>
                <w:szCs w:val="24"/>
                <w:lang w:val="ro-RO"/>
              </w:rPr>
              <w:t xml:space="preserve"> – Aceștia includ genotipul viral, modul de naștere (la femeile fără HIV sau la femeile cu HIV care urmează terapie antiretrovială) și alăptarea. Femeilor însărcinate cu VHC </w:t>
            </w:r>
            <w:r w:rsidRPr="00B85449">
              <w:rPr>
                <w:rFonts w:ascii="Times New Roman" w:eastAsia="Times New Roman" w:hAnsi="Times New Roman" w:cs="Times New Roman"/>
                <w:b/>
                <w:bCs/>
                <w:sz w:val="24"/>
                <w:szCs w:val="24"/>
                <w:lang w:val="ro-RO"/>
              </w:rPr>
              <w:t>nu</w:t>
            </w:r>
            <w:r w:rsidRPr="00B85449">
              <w:rPr>
                <w:rFonts w:ascii="Times New Roman" w:eastAsia="Times New Roman" w:hAnsi="Times New Roman" w:cs="Times New Roman"/>
                <w:sz w:val="24"/>
                <w:szCs w:val="24"/>
                <w:lang w:val="ro-RO"/>
              </w:rPr>
              <w:t xml:space="preserve"> li se recomandă nașterea prin cezariană, cu excepția cazului în care este indicat din alte motive.</w:t>
            </w:r>
          </w:p>
        </w:tc>
      </w:tr>
    </w:tbl>
    <w:p w:rsidR="00777667" w:rsidRPr="00777667" w:rsidRDefault="00777667" w:rsidP="00777667">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bookmarkStart w:id="15" w:name="_Toc205888991"/>
      <w:bookmarkStart w:id="16" w:name="_Toc331523434"/>
      <w:bookmarkStart w:id="17" w:name="_Toc331526247"/>
      <w:bookmarkStart w:id="18" w:name="_Toc331526414"/>
      <w:bookmarkStart w:id="19" w:name="_Toc27770325"/>
      <w:bookmarkStart w:id="20" w:name="_Toc177994783"/>
      <w:r w:rsidRPr="00777667">
        <w:rPr>
          <w:rFonts w:ascii="Times New Roman" w:eastAsia="Times New Roman" w:hAnsi="Times New Roman" w:cs="Times New Roman"/>
          <w:b/>
          <w:caps/>
          <w:spacing w:val="15"/>
          <w:sz w:val="24"/>
          <w:lang w:val="ro-RO" w:eastAsia="x-none"/>
        </w:rPr>
        <w:lastRenderedPageBreak/>
        <w:t>B. PARTEA GENERALĂ</w:t>
      </w:r>
      <w:bookmarkEnd w:id="15"/>
      <w:bookmarkEnd w:id="16"/>
      <w:bookmarkEnd w:id="17"/>
      <w:bookmarkEnd w:id="18"/>
      <w:bookmarkEnd w:id="19"/>
      <w:bookmarkEnd w:id="20"/>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9"/>
        <w:gridCol w:w="3187"/>
        <w:gridCol w:w="357"/>
        <w:gridCol w:w="3909"/>
      </w:tblGrid>
      <w:tr w:rsidR="00777667" w:rsidRPr="00D645AA" w:rsidTr="004E2582">
        <w:trPr>
          <w:trHeight w:val="369"/>
          <w:jc w:val="center"/>
        </w:trPr>
        <w:tc>
          <w:tcPr>
            <w:tcW w:w="9512" w:type="dxa"/>
            <w:gridSpan w:val="4"/>
            <w:tcBorders>
              <w:bottom w:val="single" w:sz="4" w:space="0" w:color="auto"/>
            </w:tcBorders>
            <w:shd w:val="clear" w:color="auto" w:fill="D1D1D1"/>
          </w:tcPr>
          <w:p w:rsidR="00777667" w:rsidRPr="00777667" w:rsidRDefault="00777667" w:rsidP="004E2582">
            <w:pPr>
              <w:pBdr>
                <w:top w:val="single" w:sz="24" w:space="0" w:color="FFFFFF"/>
                <w:left w:val="single" w:sz="24" w:space="0" w:color="FFFFFF"/>
                <w:bottom w:val="single" w:sz="24" w:space="0" w:color="FFFFFF"/>
                <w:right w:val="single" w:sz="24" w:space="0" w:color="FFFFFF"/>
              </w:pBdr>
              <w:tabs>
                <w:tab w:val="right" w:leader="dot" w:pos="9016"/>
              </w:tabs>
              <w:spacing w:after="0" w:line="240" w:lineRule="auto"/>
              <w:outlineLvl w:val="1"/>
              <w:rPr>
                <w:rFonts w:ascii="Times New Roman" w:eastAsia="Times New Roman" w:hAnsi="Times New Roman" w:cs="Times New Roman"/>
                <w:b/>
                <w:spacing w:val="15"/>
                <w:sz w:val="24"/>
                <w:szCs w:val="24"/>
                <w:lang w:val="ro-RO" w:eastAsia="x-none"/>
              </w:rPr>
            </w:pPr>
            <w:bookmarkStart w:id="21" w:name="_Toc205888993"/>
            <w:bookmarkStart w:id="22" w:name="_Toc331523436"/>
            <w:bookmarkStart w:id="23" w:name="_Toc331526249"/>
            <w:bookmarkStart w:id="24" w:name="_Toc331526416"/>
            <w:bookmarkStart w:id="25" w:name="_Toc27770327"/>
            <w:bookmarkStart w:id="26" w:name="_Toc177994785"/>
            <w:r w:rsidRPr="00777667">
              <w:rPr>
                <w:rFonts w:ascii="Times New Roman" w:eastAsia="Times New Roman" w:hAnsi="Times New Roman" w:cs="Times New Roman"/>
                <w:b/>
                <w:spacing w:val="15"/>
                <w:sz w:val="24"/>
                <w:szCs w:val="24"/>
                <w:lang w:val="ro-RO" w:eastAsia="x-none"/>
              </w:rPr>
              <w:t>B.</w:t>
            </w:r>
            <w:r w:rsidR="004E2582">
              <w:rPr>
                <w:rFonts w:ascii="Times New Roman" w:eastAsia="Times New Roman" w:hAnsi="Times New Roman" w:cs="Times New Roman"/>
                <w:b/>
                <w:spacing w:val="15"/>
                <w:sz w:val="24"/>
                <w:szCs w:val="24"/>
                <w:lang w:val="ro-RO" w:eastAsia="x-none"/>
              </w:rPr>
              <w:t>1</w:t>
            </w:r>
            <w:r w:rsidRPr="00777667">
              <w:rPr>
                <w:rFonts w:ascii="Times New Roman" w:eastAsia="Times New Roman" w:hAnsi="Times New Roman" w:cs="Times New Roman"/>
                <w:b/>
                <w:spacing w:val="15"/>
                <w:sz w:val="24"/>
                <w:szCs w:val="24"/>
                <w:lang w:val="ro-RO" w:eastAsia="x-none"/>
              </w:rPr>
              <w:t>.</w:t>
            </w:r>
            <w:bookmarkEnd w:id="21"/>
            <w:bookmarkEnd w:id="22"/>
            <w:bookmarkEnd w:id="23"/>
            <w:bookmarkEnd w:id="24"/>
            <w:bookmarkEnd w:id="25"/>
            <w:bookmarkEnd w:id="26"/>
            <w:r>
              <w:rPr>
                <w:rFonts w:ascii="Times New Roman" w:eastAsia="Times New Roman" w:hAnsi="Times New Roman" w:cs="Times New Roman"/>
                <w:b/>
                <w:spacing w:val="15"/>
                <w:sz w:val="24"/>
                <w:szCs w:val="24"/>
                <w:lang w:val="ro-RO" w:eastAsia="x-none"/>
              </w:rPr>
              <w:t xml:space="preserve"> </w:t>
            </w:r>
            <w:r w:rsidRPr="00777667">
              <w:rPr>
                <w:lang w:val="en-US"/>
              </w:rPr>
              <w:t xml:space="preserve"> </w:t>
            </w:r>
            <w:r w:rsidRPr="00777667">
              <w:rPr>
                <w:rFonts w:ascii="Times New Roman" w:hAnsi="Times New Roman" w:cs="Times New Roman"/>
                <w:b/>
                <w:sz w:val="24"/>
                <w:szCs w:val="24"/>
                <w:lang w:val="en-US"/>
              </w:rPr>
              <w:t xml:space="preserve">Nivel de </w:t>
            </w:r>
            <w:r w:rsidR="004E2582">
              <w:rPr>
                <w:rFonts w:ascii="Times New Roman" w:hAnsi="Times New Roman" w:cs="Times New Roman"/>
                <w:b/>
                <w:sz w:val="24"/>
                <w:szCs w:val="24"/>
                <w:lang w:val="en-US"/>
              </w:rPr>
              <w:t>Secția c</w:t>
            </w:r>
            <w:r w:rsidRPr="00777667">
              <w:rPr>
                <w:rFonts w:ascii="Times New Roman" w:hAnsi="Times New Roman" w:cs="Times New Roman"/>
                <w:b/>
                <w:sz w:val="24"/>
                <w:szCs w:val="24"/>
                <w:lang w:val="en-US"/>
              </w:rPr>
              <w:t>onsultativă  IMSP SCR</w:t>
            </w:r>
            <w:r w:rsidR="004E2582">
              <w:rPr>
                <w:rFonts w:ascii="Times New Roman" w:eastAsia="Times New Roman" w:hAnsi="Times New Roman" w:cs="Times New Roman"/>
                <w:b/>
                <w:spacing w:val="15"/>
                <w:sz w:val="24"/>
                <w:szCs w:val="24"/>
                <w:lang w:val="ro-RO" w:eastAsia="x-none"/>
              </w:rPr>
              <w:t xml:space="preserve"> ,,Timofei Moșneaga”</w:t>
            </w:r>
          </w:p>
        </w:tc>
      </w:tr>
      <w:tr w:rsidR="00777667" w:rsidRPr="00777667" w:rsidTr="004E2582">
        <w:trPr>
          <w:jc w:val="center"/>
        </w:trPr>
        <w:tc>
          <w:tcPr>
            <w:tcW w:w="2059" w:type="dxa"/>
            <w:shd w:val="clear" w:color="auto" w:fill="D0CECE"/>
          </w:tcPr>
          <w:p w:rsidR="00777667" w:rsidRPr="00777667" w:rsidRDefault="00777667" w:rsidP="00777667">
            <w:pPr>
              <w:spacing w:after="0" w:line="240" w:lineRule="auto"/>
              <w:jc w:val="center"/>
              <w:rPr>
                <w:rFonts w:ascii="Times New Roman" w:eastAsia="Times New Roman" w:hAnsi="Times New Roman" w:cs="Times New Roman"/>
                <w:b/>
                <w:sz w:val="24"/>
                <w:szCs w:val="24"/>
                <w:lang w:val="ro-RO" w:eastAsia="ru-RU"/>
              </w:rPr>
            </w:pPr>
            <w:r w:rsidRPr="00777667">
              <w:rPr>
                <w:rFonts w:ascii="Times New Roman" w:eastAsia="Times New Roman" w:hAnsi="Times New Roman" w:cs="Times New Roman"/>
                <w:b/>
                <w:sz w:val="24"/>
                <w:szCs w:val="24"/>
                <w:lang w:val="ro-RO" w:eastAsia="ru-RU"/>
              </w:rPr>
              <w:t>Descriere</w:t>
            </w:r>
          </w:p>
        </w:tc>
        <w:tc>
          <w:tcPr>
            <w:tcW w:w="3187" w:type="dxa"/>
            <w:shd w:val="clear" w:color="auto" w:fill="D0CECE"/>
          </w:tcPr>
          <w:p w:rsidR="00777667" w:rsidRPr="00777667" w:rsidRDefault="00777667" w:rsidP="00777667">
            <w:pPr>
              <w:spacing w:after="0" w:line="240" w:lineRule="auto"/>
              <w:jc w:val="center"/>
              <w:rPr>
                <w:rFonts w:ascii="Times New Roman" w:eastAsia="Times New Roman" w:hAnsi="Times New Roman" w:cs="Times New Roman"/>
                <w:b/>
                <w:sz w:val="24"/>
                <w:szCs w:val="24"/>
                <w:lang w:val="ro-RO" w:eastAsia="ru-RU"/>
              </w:rPr>
            </w:pPr>
            <w:r w:rsidRPr="00777667">
              <w:rPr>
                <w:rFonts w:ascii="Times New Roman" w:eastAsia="Times New Roman" w:hAnsi="Times New Roman" w:cs="Times New Roman"/>
                <w:b/>
                <w:sz w:val="24"/>
                <w:szCs w:val="24"/>
                <w:lang w:val="ro-RO" w:eastAsia="ru-RU"/>
              </w:rPr>
              <w:t>Motive</w:t>
            </w:r>
          </w:p>
        </w:tc>
        <w:tc>
          <w:tcPr>
            <w:tcW w:w="4266" w:type="dxa"/>
            <w:gridSpan w:val="2"/>
            <w:shd w:val="clear" w:color="auto" w:fill="D0CECE"/>
          </w:tcPr>
          <w:p w:rsidR="00777667" w:rsidRPr="00777667" w:rsidRDefault="00777667" w:rsidP="00777667">
            <w:pPr>
              <w:spacing w:after="0" w:line="240" w:lineRule="auto"/>
              <w:jc w:val="center"/>
              <w:rPr>
                <w:rFonts w:ascii="Times New Roman" w:eastAsia="Times New Roman" w:hAnsi="Times New Roman" w:cs="Times New Roman"/>
                <w:b/>
                <w:sz w:val="24"/>
                <w:szCs w:val="24"/>
                <w:lang w:val="ro-RO" w:eastAsia="ru-RU"/>
              </w:rPr>
            </w:pPr>
            <w:r w:rsidRPr="00777667">
              <w:rPr>
                <w:rFonts w:ascii="Times New Roman" w:eastAsia="Times New Roman" w:hAnsi="Times New Roman" w:cs="Times New Roman"/>
                <w:b/>
                <w:sz w:val="24"/>
                <w:szCs w:val="24"/>
                <w:lang w:val="ro-RO" w:eastAsia="ru-RU"/>
              </w:rPr>
              <w:t>Paşi</w:t>
            </w:r>
          </w:p>
        </w:tc>
      </w:tr>
      <w:tr w:rsidR="00777667" w:rsidRPr="00D645AA" w:rsidTr="004E2582">
        <w:trPr>
          <w:trHeight w:val="3671"/>
          <w:jc w:val="center"/>
        </w:trPr>
        <w:tc>
          <w:tcPr>
            <w:tcW w:w="2059" w:type="dxa"/>
            <w:shd w:val="clear" w:color="auto" w:fill="auto"/>
          </w:tcPr>
          <w:p w:rsidR="00777667" w:rsidRPr="00777667" w:rsidRDefault="00777667" w:rsidP="00777667">
            <w:pPr>
              <w:spacing w:after="0" w:line="240" w:lineRule="auto"/>
              <w:rPr>
                <w:rFonts w:ascii="Times New Roman" w:eastAsia="Times New Roman" w:hAnsi="Times New Roman" w:cs="Times New Roman"/>
                <w:kern w:val="32"/>
                <w:sz w:val="24"/>
                <w:szCs w:val="24"/>
                <w:lang w:val="ro-RO" w:eastAsia="ru-RU"/>
              </w:rPr>
            </w:pPr>
            <w:r w:rsidRPr="00777667">
              <w:rPr>
                <w:rFonts w:ascii="Times New Roman" w:eastAsia="Times New Roman" w:hAnsi="Times New Roman" w:cs="Times New Roman"/>
                <w:b/>
                <w:bCs/>
                <w:kern w:val="32"/>
                <w:sz w:val="24"/>
                <w:szCs w:val="24"/>
                <w:lang w:val="ro-RO" w:eastAsia="ru-RU"/>
              </w:rPr>
              <w:t>1. Suspectarea şi confirmarea diagnosticului de hepatită virală cronică C</w:t>
            </w:r>
          </w:p>
        </w:tc>
        <w:tc>
          <w:tcPr>
            <w:tcW w:w="3187" w:type="dxa"/>
            <w:shd w:val="clear" w:color="auto" w:fill="auto"/>
          </w:tcPr>
          <w:p w:rsidR="00777667" w:rsidRPr="00777667" w:rsidRDefault="00777667" w:rsidP="00777667">
            <w:pPr>
              <w:spacing w:after="0" w:line="240" w:lineRule="auto"/>
              <w:ind w:left="13"/>
              <w:contextualSpacing/>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en-US" w:eastAsia="ru-RU"/>
              </w:rPr>
              <w:t>Stabilirea precoce a diagnosticului</w:t>
            </w:r>
            <w:r w:rsidRPr="00777667">
              <w:rPr>
                <w:rFonts w:ascii="Times New Roman" w:eastAsia="Times New Roman" w:hAnsi="Times New Roman" w:cs="Times New Roman"/>
                <w:sz w:val="24"/>
                <w:szCs w:val="24"/>
                <w:lang w:val="ro-RO"/>
              </w:rPr>
              <w:t xml:space="preserve"> va permite inițierea rapidă a tratamentului și prevenirea dezvoltării complicațiilor severe.</w:t>
            </w:r>
          </w:p>
        </w:tc>
        <w:tc>
          <w:tcPr>
            <w:tcW w:w="4266" w:type="dxa"/>
            <w:gridSpan w:val="2"/>
            <w:shd w:val="clear" w:color="auto" w:fill="auto"/>
          </w:tcPr>
          <w:p w:rsidR="00777667" w:rsidRPr="00777667" w:rsidRDefault="00777667" w:rsidP="00777667">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bCs/>
                <w:sz w:val="24"/>
                <w:szCs w:val="24"/>
                <w:lang w:val="ro-RO" w:eastAsia="ru-RU"/>
              </w:rPr>
              <w:t>Standard/Obligatoriu:</w:t>
            </w:r>
          </w:p>
          <w:p w:rsidR="00777667" w:rsidRPr="00777667" w:rsidRDefault="00777667" w:rsidP="00461D8F">
            <w:pPr>
              <w:numPr>
                <w:ilvl w:val="0"/>
                <w:numId w:val="33"/>
              </w:numPr>
              <w:autoSpaceDE w:val="0"/>
              <w:autoSpaceDN w:val="0"/>
              <w:adjustRightInd w:val="0"/>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Anamneza</w:t>
            </w:r>
            <w:r w:rsidRPr="00777667">
              <w:rPr>
                <w:rFonts w:ascii="Times New Roman" w:eastAsia="Times New Roman" w:hAnsi="Times New Roman" w:cs="Times New Roman"/>
                <w:bCs/>
                <w:sz w:val="24"/>
                <w:szCs w:val="24"/>
                <w:lang w:val="ro-RO" w:eastAsia="ru-RU"/>
              </w:rPr>
              <w:t xml:space="preserve"> </w:t>
            </w:r>
            <w:r w:rsidRPr="00777667">
              <w:rPr>
                <w:rFonts w:ascii="Times New Roman" w:eastAsia="Times New Roman" w:hAnsi="Times New Roman" w:cs="Times New Roman"/>
                <w:b/>
                <w:sz w:val="24"/>
                <w:szCs w:val="24"/>
                <w:lang w:val="ro-RO" w:eastAsia="ru-RU"/>
              </w:rPr>
              <w:t>(Tabelul 8).</w:t>
            </w:r>
          </w:p>
          <w:p w:rsidR="00777667" w:rsidRPr="00777667" w:rsidRDefault="00777667" w:rsidP="00461D8F">
            <w:pPr>
              <w:numPr>
                <w:ilvl w:val="0"/>
                <w:numId w:val="33"/>
              </w:numPr>
              <w:autoSpaceDE w:val="0"/>
              <w:autoSpaceDN w:val="0"/>
              <w:adjustRightInd w:val="0"/>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 xml:space="preserve">Examenul clinic </w:t>
            </w:r>
            <w:r w:rsidRPr="00777667">
              <w:rPr>
                <w:rFonts w:ascii="Times New Roman" w:eastAsia="Times New Roman" w:hAnsi="Times New Roman" w:cs="Times New Roman"/>
                <w:b/>
                <w:bCs/>
                <w:sz w:val="24"/>
                <w:szCs w:val="24"/>
                <w:lang w:val="ro-RO" w:eastAsia="ru-RU"/>
              </w:rPr>
              <w:t>(Caseta 7).</w:t>
            </w:r>
          </w:p>
          <w:p w:rsidR="00777667" w:rsidRPr="00777667" w:rsidRDefault="00777667" w:rsidP="00461D8F">
            <w:pPr>
              <w:numPr>
                <w:ilvl w:val="0"/>
                <w:numId w:val="33"/>
              </w:numPr>
              <w:spacing w:before="100" w:after="0" w:line="240" w:lineRule="auto"/>
              <w:jc w:val="both"/>
              <w:rPr>
                <w:rFonts w:ascii="Times New Roman" w:eastAsia="Times New Roman" w:hAnsi="Times New Roman" w:cs="Times New Roman"/>
                <w:i/>
                <w:sz w:val="24"/>
                <w:szCs w:val="24"/>
                <w:lang w:val="ro-RO" w:eastAsia="ru-RU"/>
              </w:rPr>
            </w:pPr>
            <w:r w:rsidRPr="00777667">
              <w:rPr>
                <w:rFonts w:ascii="Times New Roman" w:eastAsia="Times New Roman" w:hAnsi="Times New Roman" w:cs="Times New Roman"/>
                <w:sz w:val="24"/>
                <w:szCs w:val="24"/>
                <w:lang w:val="ro-RO" w:eastAsia="ru-RU"/>
              </w:rPr>
              <w:t>Investigaţiile paraclinice obligatorii şi recomandate la necesitate</w:t>
            </w:r>
            <w:r w:rsidRPr="00777667">
              <w:rPr>
                <w:rFonts w:ascii="Times New Roman" w:eastAsia="Times New Roman" w:hAnsi="Times New Roman" w:cs="Times New Roman"/>
                <w:bCs/>
                <w:sz w:val="24"/>
                <w:szCs w:val="24"/>
                <w:lang w:val="ro-RO" w:eastAsia="ru-RU"/>
              </w:rPr>
              <w:t xml:space="preserve"> </w:t>
            </w:r>
            <w:r w:rsidRPr="00777667">
              <w:rPr>
                <w:rFonts w:ascii="Times New Roman" w:eastAsia="Times New Roman" w:hAnsi="Times New Roman" w:cs="Times New Roman"/>
                <w:b/>
                <w:sz w:val="24"/>
                <w:szCs w:val="24"/>
                <w:lang w:val="ro-RO" w:eastAsia="ru-RU"/>
              </w:rPr>
              <w:t>(Tabelul 13; Caseta 8)</w:t>
            </w:r>
            <w:r w:rsidRPr="00777667">
              <w:rPr>
                <w:rFonts w:ascii="Times New Roman" w:eastAsia="Times New Roman" w:hAnsi="Times New Roman" w:cs="Times New Roman"/>
                <w:b/>
                <w:i/>
                <w:iCs/>
                <w:sz w:val="24"/>
                <w:szCs w:val="24"/>
                <w:lang w:val="ro-RO" w:eastAsia="ru-RU"/>
              </w:rPr>
              <w:t>.</w:t>
            </w:r>
            <w:r w:rsidRPr="00777667">
              <w:rPr>
                <w:rFonts w:ascii="Times New Roman" w:eastAsia="Times New Roman" w:hAnsi="Times New Roman" w:cs="Times New Roman"/>
                <w:i/>
                <w:iCs/>
                <w:sz w:val="24"/>
                <w:szCs w:val="24"/>
                <w:lang w:val="ro-RO" w:eastAsia="ru-RU"/>
              </w:rPr>
              <w:t xml:space="preserve"> </w:t>
            </w:r>
          </w:p>
          <w:p w:rsidR="00777667" w:rsidRPr="00777667" w:rsidRDefault="00777667" w:rsidP="00461D8F">
            <w:pPr>
              <w:numPr>
                <w:ilvl w:val="0"/>
                <w:numId w:val="33"/>
              </w:numPr>
              <w:spacing w:before="100" w:after="0" w:line="240" w:lineRule="auto"/>
              <w:jc w:val="both"/>
              <w:rPr>
                <w:rFonts w:ascii="Times New Roman" w:eastAsia="Times New Roman" w:hAnsi="Times New Roman" w:cs="Times New Roman"/>
                <w:b/>
                <w:bCs/>
                <w:i/>
                <w:sz w:val="24"/>
                <w:szCs w:val="24"/>
                <w:lang w:val="ro-RO" w:eastAsia="ru-RU"/>
              </w:rPr>
            </w:pPr>
            <w:r w:rsidRPr="00777667">
              <w:rPr>
                <w:rFonts w:ascii="Times New Roman" w:eastAsia="Times New Roman" w:hAnsi="Times New Roman" w:cs="Times New Roman"/>
                <w:sz w:val="24"/>
                <w:szCs w:val="24"/>
                <w:lang w:val="ro-RO" w:eastAsia="ru-RU"/>
              </w:rPr>
              <w:t xml:space="preserve">Diagnosticul clinic pozitiv și diagnosticul diferenţial cu alte patologii </w:t>
            </w:r>
            <w:r w:rsidRPr="00777667">
              <w:rPr>
                <w:rFonts w:ascii="Times New Roman" w:eastAsia="Times New Roman" w:hAnsi="Times New Roman" w:cs="Times New Roman"/>
                <w:b/>
                <w:bCs/>
                <w:sz w:val="24"/>
                <w:szCs w:val="24"/>
                <w:lang w:val="ro-RO" w:eastAsia="ru-RU"/>
              </w:rPr>
              <w:t>(Tabelul 9; Casetele 8 – 14, 16).</w:t>
            </w:r>
          </w:p>
          <w:p w:rsidR="00777667" w:rsidRPr="00777667" w:rsidRDefault="00777667" w:rsidP="00461D8F">
            <w:pPr>
              <w:numPr>
                <w:ilvl w:val="0"/>
                <w:numId w:val="33"/>
              </w:numPr>
              <w:spacing w:before="100" w:after="0" w:line="240" w:lineRule="auto"/>
              <w:jc w:val="both"/>
              <w:rPr>
                <w:rFonts w:ascii="Times New Roman" w:eastAsia="Times New Roman" w:hAnsi="Times New Roman" w:cs="Times New Roman"/>
                <w:i/>
                <w:sz w:val="24"/>
                <w:szCs w:val="24"/>
                <w:lang w:val="ro-RO" w:eastAsia="ru-RU"/>
              </w:rPr>
            </w:pPr>
            <w:r w:rsidRPr="00777667">
              <w:rPr>
                <w:rFonts w:ascii="Times New Roman" w:eastAsia="Times New Roman" w:hAnsi="Times New Roman" w:cs="Times New Roman"/>
                <w:sz w:val="24"/>
                <w:szCs w:val="24"/>
                <w:lang w:val="ro-RO" w:eastAsia="ru-RU"/>
              </w:rPr>
              <w:t xml:space="preserve">Aprecierea severităţii bolii hepatice, a caracterului de evoluţie, a manifestărilor extrahepatice şi a prognosticului </w:t>
            </w:r>
            <w:r w:rsidRPr="00777667">
              <w:rPr>
                <w:rFonts w:ascii="Times New Roman" w:eastAsia="Times New Roman" w:hAnsi="Times New Roman" w:cs="Times New Roman"/>
                <w:b/>
                <w:bCs/>
                <w:sz w:val="24"/>
                <w:szCs w:val="24"/>
                <w:lang w:val="ro-RO" w:eastAsia="ru-RU"/>
              </w:rPr>
              <w:t>(Tabelul 12; Casetele 13, 14, 51).</w:t>
            </w:r>
          </w:p>
        </w:tc>
      </w:tr>
      <w:tr w:rsidR="00777667" w:rsidRPr="00777667" w:rsidTr="004E2582">
        <w:trPr>
          <w:jc w:val="center"/>
        </w:trPr>
        <w:tc>
          <w:tcPr>
            <w:tcW w:w="9512" w:type="dxa"/>
            <w:gridSpan w:val="4"/>
            <w:shd w:val="clear" w:color="auto" w:fill="auto"/>
          </w:tcPr>
          <w:p w:rsidR="00777667" w:rsidRPr="00777667" w:rsidRDefault="00777667" w:rsidP="00777667">
            <w:pPr>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kern w:val="32"/>
                <w:sz w:val="24"/>
                <w:szCs w:val="24"/>
                <w:lang w:val="ro-RO" w:eastAsia="ru-RU"/>
              </w:rPr>
              <w:t>2. Tratamentul</w:t>
            </w:r>
          </w:p>
        </w:tc>
      </w:tr>
      <w:tr w:rsidR="00777667" w:rsidRPr="00D645AA" w:rsidTr="004E2582">
        <w:trPr>
          <w:trHeight w:val="1623"/>
          <w:jc w:val="center"/>
        </w:trPr>
        <w:tc>
          <w:tcPr>
            <w:tcW w:w="2059" w:type="dxa"/>
            <w:shd w:val="clear" w:color="auto" w:fill="auto"/>
          </w:tcPr>
          <w:p w:rsidR="00777667" w:rsidRPr="00777667" w:rsidRDefault="00777667" w:rsidP="00777667">
            <w:pPr>
              <w:spacing w:after="0" w:line="240" w:lineRule="auto"/>
              <w:jc w:val="both"/>
              <w:rPr>
                <w:rFonts w:ascii="Times New Roman" w:eastAsia="Times New Roman" w:hAnsi="Times New Roman" w:cs="Times New Roman"/>
                <w:kern w:val="32"/>
                <w:sz w:val="24"/>
                <w:szCs w:val="24"/>
                <w:lang w:val="ro-RO" w:eastAsia="ru-RU"/>
              </w:rPr>
            </w:pPr>
            <w:r w:rsidRPr="00777667">
              <w:rPr>
                <w:rFonts w:ascii="Times New Roman" w:eastAsia="Times New Roman" w:hAnsi="Times New Roman" w:cs="Times New Roman"/>
                <w:kern w:val="32"/>
                <w:sz w:val="24"/>
                <w:szCs w:val="24"/>
                <w:lang w:val="ro-RO" w:eastAsia="ru-RU"/>
              </w:rPr>
              <w:t>2.1. Tratamentul nemedicamentos</w:t>
            </w:r>
          </w:p>
        </w:tc>
        <w:tc>
          <w:tcPr>
            <w:tcW w:w="3187" w:type="dxa"/>
            <w:shd w:val="clear" w:color="auto" w:fill="auto"/>
          </w:tcPr>
          <w:p w:rsidR="00777667" w:rsidRPr="00777667" w:rsidRDefault="00777667" w:rsidP="00777667">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Optimizarea regimului de viaţă şi alimentaţia raţională va diminua progresarea procesului patologic în ficat şi va preveni dezvoltarea complicaţiilor</w:t>
            </w:r>
          </w:p>
        </w:tc>
        <w:tc>
          <w:tcPr>
            <w:tcW w:w="4266" w:type="dxa"/>
            <w:gridSpan w:val="2"/>
            <w:shd w:val="clear" w:color="auto" w:fill="auto"/>
          </w:tcPr>
          <w:p w:rsidR="00777667" w:rsidRPr="00777667" w:rsidRDefault="00777667" w:rsidP="00777667">
            <w:pPr>
              <w:spacing w:after="0" w:line="240" w:lineRule="auto"/>
              <w:jc w:val="both"/>
              <w:rPr>
                <w:rFonts w:ascii="Times New Roman" w:eastAsia="Times New Roman" w:hAnsi="Times New Roman" w:cs="Times New Roman"/>
                <w:b/>
                <w:sz w:val="24"/>
                <w:szCs w:val="24"/>
                <w:lang w:val="ro-RO" w:eastAsia="ru-RU"/>
              </w:rPr>
            </w:pPr>
            <w:r w:rsidRPr="00777667">
              <w:rPr>
                <w:rFonts w:ascii="Times New Roman" w:eastAsia="Times New Roman" w:hAnsi="Times New Roman" w:cs="Times New Roman"/>
                <w:b/>
                <w:sz w:val="24"/>
                <w:szCs w:val="24"/>
                <w:lang w:val="ro-RO" w:eastAsia="ru-RU"/>
              </w:rPr>
              <w:t>Standard/Obligatoriu:</w:t>
            </w:r>
          </w:p>
          <w:p w:rsidR="00777667" w:rsidRPr="00777667" w:rsidRDefault="00777667" w:rsidP="00461D8F">
            <w:pPr>
              <w:numPr>
                <w:ilvl w:val="0"/>
                <w:numId w:val="5"/>
              </w:numPr>
              <w:spacing w:before="100" w:after="0" w:line="240" w:lineRule="auto"/>
              <w:jc w:val="both"/>
              <w:rPr>
                <w:rFonts w:ascii="Times New Roman" w:eastAsia="Times New Roman" w:hAnsi="Times New Roman" w:cs="Times New Roman"/>
                <w:b/>
                <w:bCs/>
                <w:sz w:val="24"/>
                <w:szCs w:val="24"/>
                <w:lang w:val="ro-RO" w:eastAsia="ru-RU"/>
              </w:rPr>
            </w:pPr>
            <w:r w:rsidRPr="00777667">
              <w:rPr>
                <w:rFonts w:ascii="Times New Roman" w:eastAsia="Times New Roman" w:hAnsi="Times New Roman" w:cs="Times New Roman"/>
                <w:sz w:val="24"/>
                <w:szCs w:val="24"/>
                <w:lang w:val="ro-RO" w:eastAsia="ru-RU"/>
              </w:rPr>
              <w:t xml:space="preserve">Recomandări privind modificările comportamentului </w:t>
            </w:r>
            <w:r w:rsidRPr="00777667">
              <w:rPr>
                <w:rFonts w:ascii="Times New Roman" w:eastAsia="Times New Roman" w:hAnsi="Times New Roman" w:cs="Times New Roman"/>
                <w:b/>
                <w:bCs/>
                <w:sz w:val="24"/>
                <w:szCs w:val="24"/>
                <w:lang w:val="ro-RO" w:eastAsia="ru-RU"/>
              </w:rPr>
              <w:t>(Tabelele 6, 24, 25).</w:t>
            </w:r>
          </w:p>
        </w:tc>
      </w:tr>
      <w:tr w:rsidR="00777667" w:rsidRPr="00D645AA" w:rsidTr="004E2582">
        <w:trPr>
          <w:trHeight w:val="890"/>
          <w:jc w:val="center"/>
        </w:trPr>
        <w:tc>
          <w:tcPr>
            <w:tcW w:w="2059" w:type="dxa"/>
            <w:shd w:val="clear" w:color="auto" w:fill="auto"/>
          </w:tcPr>
          <w:p w:rsidR="00777667" w:rsidRPr="00777667" w:rsidRDefault="00777667" w:rsidP="00777667">
            <w:pPr>
              <w:spacing w:after="0" w:line="240" w:lineRule="auto"/>
              <w:jc w:val="both"/>
              <w:rPr>
                <w:rFonts w:ascii="Times New Roman" w:eastAsia="Times New Roman" w:hAnsi="Times New Roman" w:cs="Times New Roman"/>
                <w:kern w:val="32"/>
                <w:sz w:val="24"/>
                <w:szCs w:val="24"/>
                <w:lang w:val="ro-RO" w:eastAsia="ru-RU"/>
              </w:rPr>
            </w:pPr>
            <w:r w:rsidRPr="00777667">
              <w:rPr>
                <w:rFonts w:ascii="Times New Roman" w:eastAsia="Times New Roman" w:hAnsi="Times New Roman" w:cs="Times New Roman"/>
                <w:kern w:val="32"/>
                <w:sz w:val="24"/>
                <w:szCs w:val="24"/>
                <w:lang w:val="ro-RO" w:eastAsia="ru-RU"/>
              </w:rPr>
              <w:t>2.2. Tratamentul medicamentos</w:t>
            </w:r>
          </w:p>
        </w:tc>
        <w:tc>
          <w:tcPr>
            <w:tcW w:w="3187" w:type="dxa"/>
            <w:shd w:val="clear" w:color="auto" w:fill="auto"/>
          </w:tcPr>
          <w:p w:rsidR="00777667" w:rsidRPr="00777667" w:rsidRDefault="00777667" w:rsidP="00777667">
            <w:pPr>
              <w:tabs>
                <w:tab w:val="left" w:pos="388"/>
              </w:tabs>
              <w:spacing w:after="0" w:line="240" w:lineRule="auto"/>
              <w:contextualSpacing/>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w:t>
            </w:r>
            <w:r w:rsidRPr="00777667">
              <w:rPr>
                <w:rFonts w:ascii="Times New Roman" w:eastAsia="Times New Roman" w:hAnsi="Times New Roman" w:cs="Times New Roman"/>
                <w:sz w:val="24"/>
                <w:szCs w:val="24"/>
                <w:lang w:val="ro-RO"/>
              </w:rPr>
              <w:tab/>
              <w:t>eradicarea definitivă a VHC</w:t>
            </w:r>
          </w:p>
          <w:p w:rsidR="00777667" w:rsidRPr="00777667" w:rsidRDefault="00777667" w:rsidP="00777667">
            <w:pPr>
              <w:tabs>
                <w:tab w:val="left" w:pos="388"/>
              </w:tabs>
              <w:spacing w:after="0" w:line="240" w:lineRule="auto"/>
              <w:contextualSpacing/>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w:t>
            </w:r>
            <w:r w:rsidRPr="00777667">
              <w:rPr>
                <w:rFonts w:ascii="Times New Roman" w:eastAsia="Times New Roman" w:hAnsi="Times New Roman" w:cs="Times New Roman"/>
                <w:sz w:val="24"/>
                <w:szCs w:val="24"/>
                <w:lang w:val="ro-RO"/>
              </w:rPr>
              <w:tab/>
              <w:t xml:space="preserve">prevenirea complicațiilor </w:t>
            </w:r>
            <w:r w:rsidRPr="00777667">
              <w:rPr>
                <w:rFonts w:ascii="Times New Roman" w:eastAsia="Times New Roman" w:hAnsi="Times New Roman" w:cs="Times New Roman"/>
                <w:sz w:val="24"/>
                <w:szCs w:val="24"/>
                <w:lang w:val="ro-RO"/>
              </w:rPr>
              <w:lastRenderedPageBreak/>
              <w:t>bolilor hepatice și extrahepatice cauzate de infecția cu VHC</w:t>
            </w:r>
          </w:p>
          <w:p w:rsidR="00777667" w:rsidRPr="00777667" w:rsidRDefault="00777667" w:rsidP="00777667">
            <w:pPr>
              <w:tabs>
                <w:tab w:val="left" w:pos="388"/>
              </w:tabs>
              <w:spacing w:after="0" w:line="240" w:lineRule="auto"/>
              <w:contextualSpacing/>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w:t>
            </w:r>
            <w:r w:rsidRPr="00777667">
              <w:rPr>
                <w:rFonts w:ascii="Times New Roman" w:eastAsia="Times New Roman" w:hAnsi="Times New Roman" w:cs="Times New Roman"/>
                <w:sz w:val="24"/>
                <w:szCs w:val="24"/>
                <w:lang w:val="ro-RO"/>
              </w:rPr>
              <w:tab/>
              <w:t>ameliorarea calității vieții și prevenirea transmiterii ulterioare a VHC.</w:t>
            </w:r>
          </w:p>
        </w:tc>
        <w:tc>
          <w:tcPr>
            <w:tcW w:w="4266" w:type="dxa"/>
            <w:gridSpan w:val="2"/>
            <w:shd w:val="clear" w:color="auto" w:fill="auto"/>
          </w:tcPr>
          <w:p w:rsidR="00777667" w:rsidRPr="00777667" w:rsidRDefault="00777667" w:rsidP="00777667">
            <w:pPr>
              <w:spacing w:after="0" w:line="240" w:lineRule="auto"/>
              <w:jc w:val="both"/>
              <w:rPr>
                <w:rFonts w:ascii="Times New Roman" w:eastAsia="Times New Roman" w:hAnsi="Times New Roman" w:cs="Times New Roman"/>
                <w:b/>
                <w:sz w:val="24"/>
                <w:szCs w:val="24"/>
                <w:lang w:val="ro-RO" w:eastAsia="ru-RU"/>
              </w:rPr>
            </w:pPr>
            <w:r w:rsidRPr="00777667">
              <w:rPr>
                <w:rFonts w:ascii="Times New Roman" w:eastAsia="Times New Roman" w:hAnsi="Times New Roman" w:cs="Times New Roman"/>
                <w:b/>
                <w:sz w:val="24"/>
                <w:szCs w:val="24"/>
                <w:lang w:val="ro-RO" w:eastAsia="ru-RU"/>
              </w:rPr>
              <w:lastRenderedPageBreak/>
              <w:t>Standard/Obligatoriu:</w:t>
            </w:r>
          </w:p>
          <w:p w:rsidR="00777667" w:rsidRPr="00777667" w:rsidRDefault="00777667" w:rsidP="00461D8F">
            <w:pPr>
              <w:numPr>
                <w:ilvl w:val="0"/>
                <w:numId w:val="34"/>
              </w:numPr>
              <w:spacing w:before="100" w:after="0" w:line="240" w:lineRule="auto"/>
              <w:jc w:val="both"/>
              <w:rPr>
                <w:rFonts w:ascii="Times New Roman" w:eastAsia="Times New Roman" w:hAnsi="Times New Roman" w:cs="Times New Roman"/>
                <w:b/>
                <w:i/>
                <w:sz w:val="24"/>
                <w:szCs w:val="24"/>
                <w:lang w:val="ro-RO" w:eastAsia="ru-RU"/>
              </w:rPr>
            </w:pPr>
            <w:r w:rsidRPr="00777667">
              <w:rPr>
                <w:rFonts w:ascii="Times New Roman" w:eastAsia="Times New Roman" w:hAnsi="Times New Roman" w:cs="Times New Roman"/>
                <w:sz w:val="24"/>
                <w:szCs w:val="24"/>
                <w:lang w:val="ro-RO" w:eastAsia="ru-RU"/>
              </w:rPr>
              <w:t xml:space="preserve">Terapia antivirală individualizată </w:t>
            </w:r>
            <w:r w:rsidRPr="00777667">
              <w:rPr>
                <w:rFonts w:ascii="Times New Roman" w:eastAsia="Times New Roman" w:hAnsi="Times New Roman" w:cs="Times New Roman"/>
                <w:b/>
                <w:iCs/>
                <w:sz w:val="24"/>
                <w:szCs w:val="24"/>
                <w:lang w:val="ro-RO" w:eastAsia="ru-RU"/>
              </w:rPr>
              <w:t xml:space="preserve">(Tabelele 15-22; </w:t>
            </w:r>
            <w:r w:rsidRPr="00777667">
              <w:rPr>
                <w:rFonts w:ascii="Times New Roman" w:eastAsia="Times New Roman" w:hAnsi="Times New Roman" w:cs="Times New Roman"/>
                <w:b/>
                <w:sz w:val="24"/>
                <w:szCs w:val="24"/>
                <w:lang w:val="ro-RO" w:eastAsia="ru-RU"/>
              </w:rPr>
              <w:t>Casetele 19-50</w:t>
            </w:r>
            <w:r w:rsidRPr="00777667">
              <w:rPr>
                <w:rFonts w:ascii="Times New Roman" w:eastAsia="Times New Roman" w:hAnsi="Times New Roman" w:cs="Times New Roman"/>
                <w:b/>
                <w:iCs/>
                <w:sz w:val="24"/>
                <w:szCs w:val="24"/>
                <w:lang w:val="ro-RO" w:eastAsia="ru-RU"/>
              </w:rPr>
              <w:t>).</w:t>
            </w:r>
          </w:p>
          <w:p w:rsidR="00777667" w:rsidRPr="00777667" w:rsidRDefault="003C1EBC" w:rsidP="00461D8F">
            <w:pPr>
              <w:numPr>
                <w:ilvl w:val="0"/>
                <w:numId w:val="3"/>
              </w:numPr>
              <w:spacing w:before="100"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lastRenderedPageBreak/>
              <w:t xml:space="preserve">Recomandări </w:t>
            </w:r>
            <w:r w:rsidR="00777667" w:rsidRPr="00777667">
              <w:rPr>
                <w:rFonts w:ascii="Times New Roman" w:eastAsia="Times New Roman" w:hAnsi="Times New Roman" w:cs="Times New Roman"/>
                <w:sz w:val="24"/>
                <w:szCs w:val="24"/>
                <w:lang w:val="ro-RO" w:eastAsia="ru-RU"/>
              </w:rPr>
              <w:t>vizând abordarea/tratamentul manifestărilor extrahepatice ale infectiei cu VHC</w:t>
            </w:r>
          </w:p>
          <w:p w:rsidR="00777667" w:rsidRPr="00777667" w:rsidRDefault="00777667" w:rsidP="00461D8F">
            <w:pPr>
              <w:numPr>
                <w:ilvl w:val="0"/>
                <w:numId w:val="3"/>
              </w:numPr>
              <w:tabs>
                <w:tab w:val="left" w:pos="318"/>
              </w:tabs>
              <w:spacing w:before="100" w:after="0" w:line="240" w:lineRule="auto"/>
              <w:ind w:left="-108" w:firstLine="108"/>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În caz de ciroză hepatică: recomandări vizând tratamentul patogenetic, simptomatic al cirozei hepatice și complicațiilor CH (vezi protocoalele respective)</w:t>
            </w:r>
          </w:p>
          <w:p w:rsidR="00777667" w:rsidRPr="00777667" w:rsidRDefault="00777667" w:rsidP="00461D8F">
            <w:pPr>
              <w:numPr>
                <w:ilvl w:val="0"/>
                <w:numId w:val="3"/>
              </w:numPr>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Recomandări vizând tratamentul complicaţiilor terapiei antivirale.</w:t>
            </w:r>
          </w:p>
        </w:tc>
      </w:tr>
      <w:tr w:rsidR="00777667" w:rsidRPr="00D645AA" w:rsidTr="004E2582">
        <w:trPr>
          <w:jc w:val="center"/>
        </w:trPr>
        <w:tc>
          <w:tcPr>
            <w:tcW w:w="2059" w:type="dxa"/>
            <w:shd w:val="clear" w:color="auto" w:fill="auto"/>
          </w:tcPr>
          <w:p w:rsidR="00777667" w:rsidRPr="00777667" w:rsidRDefault="004E2582" w:rsidP="00777667">
            <w:pPr>
              <w:spacing w:after="0" w:line="240" w:lineRule="auto"/>
              <w:ind w:right="-37"/>
              <w:jc w:val="both"/>
              <w:rPr>
                <w:rFonts w:ascii="Times New Roman" w:eastAsia="Times New Roman" w:hAnsi="Times New Roman" w:cs="Times New Roman"/>
                <w:b/>
                <w:kern w:val="32"/>
                <w:sz w:val="24"/>
                <w:szCs w:val="24"/>
                <w:lang w:val="ro-RO" w:eastAsia="ru-RU"/>
              </w:rPr>
            </w:pPr>
            <w:r>
              <w:rPr>
                <w:rFonts w:ascii="Times New Roman" w:eastAsia="Times New Roman" w:hAnsi="Times New Roman" w:cs="Times New Roman"/>
                <w:b/>
                <w:kern w:val="32"/>
                <w:sz w:val="24"/>
                <w:szCs w:val="24"/>
                <w:lang w:val="ro-RO" w:eastAsia="ru-RU"/>
              </w:rPr>
              <w:lastRenderedPageBreak/>
              <w:t>3</w:t>
            </w:r>
            <w:r w:rsidR="00777667" w:rsidRPr="00777667">
              <w:rPr>
                <w:rFonts w:ascii="Times New Roman" w:eastAsia="Times New Roman" w:hAnsi="Times New Roman" w:cs="Times New Roman"/>
                <w:b/>
                <w:kern w:val="32"/>
                <w:sz w:val="24"/>
                <w:szCs w:val="24"/>
                <w:lang w:val="ro-RO" w:eastAsia="ru-RU"/>
              </w:rPr>
              <w:t>. Supravegherea /monitorizarea</w:t>
            </w:r>
          </w:p>
        </w:tc>
        <w:tc>
          <w:tcPr>
            <w:tcW w:w="3187" w:type="dxa"/>
            <w:shd w:val="clear" w:color="auto" w:fill="auto"/>
          </w:tcPr>
          <w:p w:rsidR="00777667" w:rsidRPr="00777667" w:rsidRDefault="00777667" w:rsidP="00777667">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Evaluarea răspunsului la tratament previne dezvoltarea complicațiilor</w:t>
            </w:r>
          </w:p>
        </w:tc>
        <w:tc>
          <w:tcPr>
            <w:tcW w:w="4266" w:type="dxa"/>
            <w:gridSpan w:val="2"/>
            <w:shd w:val="clear" w:color="auto" w:fill="auto"/>
          </w:tcPr>
          <w:p w:rsidR="00777667" w:rsidRPr="00777667" w:rsidRDefault="00777667" w:rsidP="00777667">
            <w:pPr>
              <w:spacing w:after="0" w:line="240" w:lineRule="auto"/>
              <w:rPr>
                <w:rFonts w:ascii="Times New Roman" w:eastAsia="Segoe UI Emoji" w:hAnsi="Times New Roman" w:cs="Times New Roman"/>
                <w:b/>
                <w:bCs/>
                <w:sz w:val="24"/>
                <w:szCs w:val="24"/>
                <w:lang w:val="ro-RO" w:eastAsia="ru-RU"/>
              </w:rPr>
            </w:pPr>
            <w:r w:rsidRPr="00777667">
              <w:rPr>
                <w:rFonts w:ascii="Times New Roman" w:eastAsia="Times New Roman" w:hAnsi="Times New Roman" w:cs="Times New Roman"/>
                <w:b/>
                <w:bCs/>
                <w:sz w:val="24"/>
                <w:szCs w:val="24"/>
                <w:lang w:val="ro-RO" w:eastAsia="ru-RU"/>
              </w:rPr>
              <w:t>Standard/Obligatoriu:</w:t>
            </w:r>
          </w:p>
          <w:p w:rsidR="00777667" w:rsidRPr="00777667" w:rsidRDefault="00777667" w:rsidP="00777667">
            <w:pPr>
              <w:spacing w:after="0" w:line="240" w:lineRule="auto"/>
              <w:rPr>
                <w:rFonts w:ascii="Times New Roman" w:eastAsia="Times New Roman" w:hAnsi="Times New Roman" w:cs="Times New Roman"/>
                <w:b/>
                <w:bCs/>
                <w:sz w:val="24"/>
                <w:szCs w:val="24"/>
                <w:lang w:val="ro-RO" w:eastAsia="ru-RU"/>
              </w:rPr>
            </w:pPr>
            <w:r w:rsidRPr="00777667">
              <w:rPr>
                <w:rFonts w:ascii="Times New Roman" w:eastAsia="Times New Roman" w:hAnsi="Times New Roman" w:cs="Times New Roman"/>
                <w:iCs/>
                <w:sz w:val="24"/>
                <w:szCs w:val="24"/>
                <w:lang w:val="ro-RO" w:eastAsia="ru-RU"/>
              </w:rPr>
              <w:t xml:space="preserve">Cu ghidarea medicului specialist se va efectua </w:t>
            </w:r>
            <w:r w:rsidRPr="00777667">
              <w:rPr>
                <w:rFonts w:ascii="Times New Roman" w:eastAsia="Segoe UI Emoji" w:hAnsi="Times New Roman" w:cs="Times New Roman"/>
                <w:b/>
                <w:bCs/>
                <w:sz w:val="24"/>
                <w:szCs w:val="24"/>
                <w:lang w:val="ro-RO" w:eastAsia="ru-RU"/>
              </w:rPr>
              <w:t>(Casetele 45-50)</w:t>
            </w:r>
            <w:r w:rsidRPr="00777667">
              <w:rPr>
                <w:rFonts w:ascii="Times New Roman" w:eastAsia="Times New Roman" w:hAnsi="Times New Roman" w:cs="Times New Roman"/>
                <w:b/>
                <w:bCs/>
                <w:iCs/>
                <w:sz w:val="24"/>
                <w:szCs w:val="24"/>
                <w:lang w:val="ro-RO" w:eastAsia="ru-RU"/>
              </w:rPr>
              <w:t xml:space="preserve">: </w:t>
            </w:r>
          </w:p>
          <w:p w:rsidR="00777667" w:rsidRPr="00777667" w:rsidRDefault="00777667" w:rsidP="00461D8F">
            <w:pPr>
              <w:numPr>
                <w:ilvl w:val="0"/>
                <w:numId w:val="117"/>
              </w:numPr>
              <w:spacing w:before="100" w:after="0" w:line="240" w:lineRule="auto"/>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Evaluarea eficacității tratamentului;</w:t>
            </w:r>
          </w:p>
          <w:p w:rsidR="00777667" w:rsidRPr="00777667" w:rsidRDefault="00777667" w:rsidP="00461D8F">
            <w:pPr>
              <w:numPr>
                <w:ilvl w:val="0"/>
                <w:numId w:val="117"/>
              </w:numPr>
              <w:spacing w:before="100" w:after="0" w:line="240" w:lineRule="auto"/>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Monitorizarea siguranței tratamentului antiviral;</w:t>
            </w:r>
          </w:p>
          <w:p w:rsidR="00777667" w:rsidRPr="00777667" w:rsidRDefault="00777667" w:rsidP="00461D8F">
            <w:pPr>
              <w:numPr>
                <w:ilvl w:val="0"/>
                <w:numId w:val="117"/>
              </w:numPr>
              <w:spacing w:before="100" w:after="0" w:line="240" w:lineRule="auto"/>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Monitorizarea interacțiunilor medicament-medicament;</w:t>
            </w:r>
          </w:p>
          <w:p w:rsidR="00777667" w:rsidRPr="00777667" w:rsidRDefault="00777667" w:rsidP="00461D8F">
            <w:pPr>
              <w:numPr>
                <w:ilvl w:val="0"/>
                <w:numId w:val="117"/>
              </w:numPr>
              <w:spacing w:before="100" w:after="0" w:line="240" w:lineRule="auto"/>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Reducerea dozei de tratament;</w:t>
            </w:r>
          </w:p>
          <w:p w:rsidR="00777667" w:rsidRPr="00777667" w:rsidRDefault="00777667" w:rsidP="00461D8F">
            <w:pPr>
              <w:numPr>
                <w:ilvl w:val="0"/>
                <w:numId w:val="117"/>
              </w:numPr>
              <w:spacing w:before="100" w:after="0" w:line="240" w:lineRule="auto"/>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Urmărirea post-tratament a pacienților care realizează răspuns viral susținut;</w:t>
            </w:r>
          </w:p>
          <w:p w:rsidR="00777667" w:rsidRPr="00777667" w:rsidRDefault="00777667" w:rsidP="00461D8F">
            <w:pPr>
              <w:numPr>
                <w:ilvl w:val="0"/>
                <w:numId w:val="117"/>
              </w:numPr>
              <w:spacing w:before="100" w:after="0" w:line="240" w:lineRule="auto"/>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Urmărirea pacienţilor netratați și a pacienţilor cu eșecul definitiv al tratamentului.</w:t>
            </w:r>
          </w:p>
          <w:p w:rsidR="00777667" w:rsidRPr="00777667" w:rsidRDefault="00777667" w:rsidP="00777667">
            <w:pPr>
              <w:spacing w:after="0" w:line="240" w:lineRule="auto"/>
              <w:ind w:left="360"/>
              <w:jc w:val="both"/>
              <w:rPr>
                <w:rFonts w:ascii="Times New Roman" w:eastAsia="Times New Roman" w:hAnsi="Times New Roman" w:cs="Times New Roman"/>
                <w:sz w:val="24"/>
                <w:szCs w:val="24"/>
                <w:lang w:val="ro-RO"/>
              </w:rPr>
            </w:pPr>
          </w:p>
          <w:p w:rsidR="00777667" w:rsidRPr="00777667" w:rsidRDefault="00777667" w:rsidP="00777667">
            <w:pPr>
              <w:spacing w:after="0" w:line="240" w:lineRule="auto"/>
              <w:ind w:left="360"/>
              <w:jc w:val="both"/>
              <w:rPr>
                <w:rFonts w:ascii="Times New Roman" w:eastAsia="Times New Roman" w:hAnsi="Times New Roman" w:cs="Times New Roman"/>
                <w:sz w:val="24"/>
                <w:szCs w:val="24"/>
                <w:lang w:val="ro-RO"/>
              </w:rPr>
            </w:pPr>
          </w:p>
          <w:p w:rsidR="00777667" w:rsidRPr="00777667" w:rsidRDefault="00777667" w:rsidP="00777667">
            <w:pPr>
              <w:spacing w:after="0" w:line="240" w:lineRule="auto"/>
              <w:ind w:left="360"/>
              <w:jc w:val="both"/>
              <w:rPr>
                <w:rFonts w:ascii="Times New Roman" w:eastAsia="Times New Roman" w:hAnsi="Times New Roman" w:cs="Times New Roman"/>
                <w:sz w:val="24"/>
                <w:szCs w:val="24"/>
                <w:lang w:val="ro-RO"/>
              </w:rPr>
            </w:pPr>
          </w:p>
          <w:p w:rsidR="00777667" w:rsidRPr="00777667" w:rsidRDefault="00777667" w:rsidP="00777667">
            <w:pPr>
              <w:spacing w:after="0" w:line="240" w:lineRule="auto"/>
              <w:ind w:left="360"/>
              <w:jc w:val="both"/>
              <w:rPr>
                <w:rFonts w:ascii="Times New Roman" w:eastAsia="Times New Roman" w:hAnsi="Times New Roman" w:cs="Times New Roman"/>
                <w:sz w:val="24"/>
                <w:szCs w:val="24"/>
                <w:lang w:val="ro-RO"/>
              </w:rPr>
            </w:pPr>
          </w:p>
          <w:p w:rsidR="00777667" w:rsidRPr="00777667" w:rsidRDefault="00777667" w:rsidP="00777667">
            <w:pPr>
              <w:spacing w:after="0" w:line="240" w:lineRule="auto"/>
              <w:ind w:left="360"/>
              <w:jc w:val="both"/>
              <w:rPr>
                <w:rFonts w:ascii="Times New Roman" w:eastAsia="Times New Roman" w:hAnsi="Times New Roman" w:cs="Times New Roman"/>
                <w:sz w:val="24"/>
                <w:szCs w:val="24"/>
                <w:lang w:val="ro-RO"/>
              </w:rPr>
            </w:pPr>
          </w:p>
        </w:tc>
      </w:tr>
      <w:tr w:rsidR="00777667" w:rsidRPr="00D645AA" w:rsidTr="004E2582">
        <w:trPr>
          <w:jc w:val="center"/>
        </w:trPr>
        <w:tc>
          <w:tcPr>
            <w:tcW w:w="9512" w:type="dxa"/>
            <w:gridSpan w:val="4"/>
            <w:tcBorders>
              <w:top w:val="single" w:sz="4" w:space="0" w:color="auto"/>
              <w:left w:val="single" w:sz="4" w:space="0" w:color="auto"/>
              <w:bottom w:val="single" w:sz="4" w:space="0" w:color="auto"/>
              <w:right w:val="single" w:sz="4" w:space="0" w:color="auto"/>
            </w:tcBorders>
            <w:shd w:val="clear" w:color="auto" w:fill="D1D1D1"/>
          </w:tcPr>
          <w:p w:rsidR="00777667" w:rsidRPr="00777667" w:rsidRDefault="004E2582" w:rsidP="004E2582">
            <w:pPr>
              <w:pBdr>
                <w:top w:val="single" w:sz="24" w:space="0" w:color="FFFFFF"/>
                <w:left w:val="single" w:sz="24" w:space="0" w:color="FFFFFF"/>
                <w:bottom w:val="single" w:sz="24" w:space="0" w:color="FFFFFF"/>
                <w:right w:val="single" w:sz="24" w:space="0" w:color="FFFFFF"/>
              </w:pBdr>
              <w:tabs>
                <w:tab w:val="right" w:leader="dot" w:pos="9016"/>
              </w:tabs>
              <w:spacing w:after="0" w:line="240" w:lineRule="auto"/>
              <w:outlineLvl w:val="1"/>
              <w:rPr>
                <w:rFonts w:ascii="Times New Roman" w:eastAsia="Times New Roman" w:hAnsi="Times New Roman" w:cs="Times New Roman"/>
                <w:b/>
                <w:spacing w:val="15"/>
                <w:sz w:val="24"/>
                <w:szCs w:val="24"/>
                <w:lang w:val="ro-RO" w:eastAsia="ru-RU"/>
              </w:rPr>
            </w:pPr>
            <w:bookmarkStart w:id="27" w:name="_Toc205888994"/>
            <w:bookmarkStart w:id="28" w:name="_Toc331523437"/>
            <w:bookmarkStart w:id="29" w:name="_Toc331526250"/>
            <w:bookmarkStart w:id="30" w:name="_Toc331526417"/>
            <w:bookmarkStart w:id="31" w:name="_Toc27770328"/>
            <w:bookmarkStart w:id="32" w:name="_Toc177994786"/>
            <w:r>
              <w:rPr>
                <w:rFonts w:ascii="Times New Roman" w:eastAsia="Times New Roman" w:hAnsi="Times New Roman" w:cs="Times New Roman"/>
                <w:b/>
                <w:spacing w:val="15"/>
                <w:sz w:val="24"/>
                <w:szCs w:val="24"/>
                <w:lang w:val="ro-RO" w:eastAsia="x-none"/>
              </w:rPr>
              <w:t>B.2.</w:t>
            </w:r>
            <w:r w:rsidR="00777667">
              <w:rPr>
                <w:rFonts w:ascii="Times New Roman" w:eastAsia="Times New Roman" w:hAnsi="Times New Roman" w:cs="Times New Roman"/>
                <w:b/>
                <w:spacing w:val="15"/>
                <w:sz w:val="24"/>
                <w:szCs w:val="24"/>
                <w:lang w:val="ro-RO" w:eastAsia="x-none"/>
              </w:rPr>
              <w:t xml:space="preserve"> </w:t>
            </w:r>
            <w:r w:rsidR="00777667" w:rsidRPr="00777667">
              <w:rPr>
                <w:rFonts w:ascii="Times New Roman" w:eastAsia="Times New Roman" w:hAnsi="Times New Roman" w:cs="Times New Roman"/>
                <w:b/>
                <w:spacing w:val="15"/>
                <w:sz w:val="24"/>
                <w:szCs w:val="24"/>
                <w:lang w:val="ro-RO" w:eastAsia="x-none"/>
              </w:rPr>
              <w:t xml:space="preserve">Nivel de </w:t>
            </w:r>
            <w:bookmarkEnd w:id="27"/>
            <w:bookmarkEnd w:id="28"/>
            <w:bookmarkEnd w:id="29"/>
            <w:bookmarkEnd w:id="30"/>
            <w:bookmarkEnd w:id="31"/>
            <w:bookmarkEnd w:id="32"/>
            <w:r>
              <w:rPr>
                <w:rFonts w:ascii="Times New Roman" w:eastAsia="Times New Roman" w:hAnsi="Times New Roman" w:cs="Times New Roman"/>
                <w:b/>
                <w:spacing w:val="15"/>
                <w:sz w:val="24"/>
                <w:szCs w:val="24"/>
                <w:lang w:val="ro-RO" w:eastAsia="x-none"/>
              </w:rPr>
              <w:t>IMSP Spitalul Clinic Republican ,,Timofei Moșneaga”</w:t>
            </w:r>
            <w:r w:rsidR="00777667" w:rsidRPr="00777667">
              <w:rPr>
                <w:rFonts w:ascii="Times New Roman" w:eastAsia="Times New Roman" w:hAnsi="Times New Roman" w:cs="Times New Roman"/>
                <w:b/>
                <w:spacing w:val="15"/>
                <w:sz w:val="24"/>
                <w:szCs w:val="24"/>
                <w:lang w:val="ro-RO" w:eastAsia="x-none"/>
              </w:rPr>
              <w:t xml:space="preserve"> </w:t>
            </w:r>
          </w:p>
        </w:tc>
      </w:tr>
      <w:tr w:rsidR="00777667" w:rsidRPr="00777667" w:rsidTr="004E2582">
        <w:trPr>
          <w:jc w:val="center"/>
        </w:trPr>
        <w:tc>
          <w:tcPr>
            <w:tcW w:w="2059" w:type="dxa"/>
            <w:shd w:val="clear" w:color="auto" w:fill="D0CECE"/>
          </w:tcPr>
          <w:p w:rsidR="00777667" w:rsidRPr="00777667" w:rsidRDefault="00777667" w:rsidP="00777667">
            <w:pPr>
              <w:autoSpaceDE w:val="0"/>
              <w:autoSpaceDN w:val="0"/>
              <w:adjustRightInd w:val="0"/>
              <w:spacing w:after="0" w:line="240" w:lineRule="auto"/>
              <w:jc w:val="center"/>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bCs/>
                <w:sz w:val="24"/>
                <w:szCs w:val="24"/>
                <w:lang w:val="ro-RO" w:eastAsia="ru-RU"/>
              </w:rPr>
              <w:t>Descriere</w:t>
            </w:r>
          </w:p>
        </w:tc>
        <w:tc>
          <w:tcPr>
            <w:tcW w:w="3544" w:type="dxa"/>
            <w:gridSpan w:val="2"/>
            <w:shd w:val="clear" w:color="auto" w:fill="D0CECE"/>
          </w:tcPr>
          <w:p w:rsidR="00777667" w:rsidRPr="00777667" w:rsidRDefault="00777667" w:rsidP="00777667">
            <w:pPr>
              <w:autoSpaceDE w:val="0"/>
              <w:autoSpaceDN w:val="0"/>
              <w:adjustRightInd w:val="0"/>
              <w:spacing w:after="0" w:line="240" w:lineRule="auto"/>
              <w:jc w:val="center"/>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bCs/>
                <w:sz w:val="24"/>
                <w:szCs w:val="24"/>
                <w:lang w:val="ro-RO" w:eastAsia="ru-RU"/>
              </w:rPr>
              <w:t>Motive</w:t>
            </w:r>
          </w:p>
        </w:tc>
        <w:tc>
          <w:tcPr>
            <w:tcW w:w="3909" w:type="dxa"/>
            <w:shd w:val="clear" w:color="auto" w:fill="D0CECE"/>
          </w:tcPr>
          <w:p w:rsidR="00777667" w:rsidRPr="00777667" w:rsidRDefault="00777667" w:rsidP="00777667">
            <w:pPr>
              <w:autoSpaceDE w:val="0"/>
              <w:autoSpaceDN w:val="0"/>
              <w:adjustRightInd w:val="0"/>
              <w:spacing w:after="0" w:line="240" w:lineRule="auto"/>
              <w:jc w:val="center"/>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bCs/>
                <w:sz w:val="24"/>
                <w:szCs w:val="24"/>
                <w:lang w:val="ro-RO" w:eastAsia="ru-RU"/>
              </w:rPr>
              <w:t>Paşi</w:t>
            </w:r>
          </w:p>
        </w:tc>
      </w:tr>
      <w:tr w:rsidR="00777667" w:rsidRPr="00777667" w:rsidTr="004E2582">
        <w:trPr>
          <w:trHeight w:val="3581"/>
          <w:jc w:val="center"/>
        </w:trPr>
        <w:tc>
          <w:tcPr>
            <w:tcW w:w="2059" w:type="dxa"/>
            <w:shd w:val="clear" w:color="auto" w:fill="auto"/>
          </w:tcPr>
          <w:p w:rsidR="00777667" w:rsidRPr="00777667" w:rsidRDefault="00777667" w:rsidP="00777667">
            <w:pPr>
              <w:spacing w:after="0" w:line="240" w:lineRule="auto"/>
              <w:jc w:val="both"/>
              <w:rPr>
                <w:rFonts w:ascii="Times New Roman" w:eastAsia="Times New Roman" w:hAnsi="Times New Roman" w:cs="Times New Roman"/>
                <w:b/>
                <w:kern w:val="32"/>
                <w:sz w:val="24"/>
                <w:szCs w:val="24"/>
                <w:lang w:val="ro-RO" w:eastAsia="ru-RU"/>
              </w:rPr>
            </w:pPr>
            <w:r w:rsidRPr="00777667">
              <w:rPr>
                <w:rFonts w:ascii="Times New Roman" w:eastAsia="Times New Roman" w:hAnsi="Times New Roman" w:cs="Times New Roman"/>
                <w:b/>
                <w:kern w:val="32"/>
                <w:sz w:val="24"/>
                <w:szCs w:val="24"/>
                <w:lang w:val="ro-RO" w:eastAsia="ru-RU"/>
              </w:rPr>
              <w:t>1. Spitalizarea</w:t>
            </w:r>
          </w:p>
        </w:tc>
        <w:tc>
          <w:tcPr>
            <w:tcW w:w="3544" w:type="dxa"/>
            <w:gridSpan w:val="2"/>
            <w:shd w:val="clear" w:color="auto" w:fill="auto"/>
          </w:tcPr>
          <w:p w:rsidR="00777667" w:rsidRPr="00777667" w:rsidRDefault="00777667" w:rsidP="00461D8F">
            <w:pPr>
              <w:numPr>
                <w:ilvl w:val="0"/>
                <w:numId w:val="124"/>
              </w:numPr>
              <w:tabs>
                <w:tab w:val="left" w:pos="388"/>
              </w:tabs>
              <w:spacing w:before="100" w:after="0" w:line="240" w:lineRule="auto"/>
              <w:ind w:left="0" w:hanging="28"/>
              <w:contextualSpacing/>
              <w:jc w:val="both"/>
              <w:rPr>
                <w:rFonts w:ascii="Calibri" w:eastAsia="Times New Roman" w:hAnsi="Calibri" w:cs="Times New Roman"/>
                <w:lang w:val="ro-RO"/>
              </w:rPr>
            </w:pPr>
            <w:r w:rsidRPr="00777667">
              <w:rPr>
                <w:rFonts w:ascii="Times New Roman" w:eastAsia="Times New Roman" w:hAnsi="Times New Roman" w:cs="Times New Roman"/>
                <w:sz w:val="24"/>
                <w:szCs w:val="24"/>
                <w:lang w:val="ro-RO"/>
              </w:rPr>
              <w:t>Concretizarea diagnosticului clinic și elaborarea tacticii terapeutice la pacienții cu diagnostic incert la etapele precedente, cu manifestări extrahepatice sau cu complicații ale bolii hepatice sau ale tratamentului antiviral.</w:t>
            </w:r>
          </w:p>
          <w:p w:rsidR="00777667" w:rsidRPr="00777667" w:rsidRDefault="00777667" w:rsidP="00461D8F">
            <w:pPr>
              <w:numPr>
                <w:ilvl w:val="0"/>
                <w:numId w:val="124"/>
              </w:numPr>
              <w:tabs>
                <w:tab w:val="left" w:pos="388"/>
              </w:tabs>
              <w:spacing w:before="100" w:after="0" w:line="240" w:lineRule="auto"/>
              <w:ind w:left="0" w:hanging="28"/>
              <w:contextualSpacing/>
              <w:jc w:val="both"/>
              <w:rPr>
                <w:rFonts w:ascii="Calibri" w:eastAsia="Times New Roman" w:hAnsi="Calibri" w:cs="Times New Roman"/>
                <w:lang w:val="ro-RO"/>
              </w:rPr>
            </w:pPr>
            <w:r w:rsidRPr="00777667">
              <w:rPr>
                <w:rFonts w:ascii="Times New Roman" w:eastAsia="Times New Roman" w:hAnsi="Times New Roman" w:cs="Times New Roman"/>
                <w:sz w:val="24"/>
                <w:szCs w:val="24"/>
                <w:lang w:val="ro-RO"/>
              </w:rPr>
              <w:t>Efectuarea intervenţiilor şi a procedurilor de diagnostic şi terapeutice, care nu pot fi executate în condiţii de ambulator. [14].</w:t>
            </w:r>
          </w:p>
        </w:tc>
        <w:tc>
          <w:tcPr>
            <w:tcW w:w="3909" w:type="dxa"/>
            <w:shd w:val="clear" w:color="auto" w:fill="auto"/>
          </w:tcPr>
          <w:p w:rsidR="00777667" w:rsidRPr="00777667" w:rsidRDefault="00777667" w:rsidP="00461D8F">
            <w:pPr>
              <w:numPr>
                <w:ilvl w:val="0"/>
                <w:numId w:val="4"/>
              </w:numPr>
              <w:spacing w:before="100" w:after="0" w:line="240" w:lineRule="auto"/>
              <w:ind w:left="288"/>
              <w:jc w:val="both"/>
              <w:rPr>
                <w:rFonts w:ascii="Times New Roman" w:eastAsia="Times New Roman" w:hAnsi="Times New Roman" w:cs="Times New Roman"/>
                <w:b/>
                <w:bCs/>
                <w:i/>
                <w:sz w:val="24"/>
                <w:szCs w:val="24"/>
                <w:lang w:val="ro-RO" w:eastAsia="ru-RU"/>
              </w:rPr>
            </w:pPr>
            <w:r w:rsidRPr="00777667">
              <w:rPr>
                <w:rFonts w:ascii="Times New Roman" w:eastAsia="Times New Roman" w:hAnsi="Times New Roman" w:cs="Times New Roman"/>
                <w:sz w:val="24"/>
                <w:szCs w:val="24"/>
                <w:lang w:val="ro-RO" w:eastAsia="ru-RU"/>
              </w:rPr>
              <w:t xml:space="preserve">Criterii de spitalizare </w:t>
            </w:r>
            <w:r w:rsidRPr="00777667">
              <w:rPr>
                <w:rFonts w:ascii="Times New Roman" w:eastAsia="Times New Roman" w:hAnsi="Times New Roman" w:cs="Times New Roman"/>
                <w:b/>
                <w:bCs/>
                <w:sz w:val="24"/>
                <w:szCs w:val="24"/>
                <w:lang w:val="ro-RO" w:eastAsia="ru-RU"/>
              </w:rPr>
              <w:t>(Caseta 17)</w:t>
            </w:r>
          </w:p>
        </w:tc>
      </w:tr>
      <w:tr w:rsidR="00777667" w:rsidRPr="00777667" w:rsidTr="004E2582">
        <w:trPr>
          <w:trHeight w:val="60"/>
          <w:jc w:val="center"/>
        </w:trPr>
        <w:tc>
          <w:tcPr>
            <w:tcW w:w="9512" w:type="dxa"/>
            <w:gridSpan w:val="4"/>
            <w:shd w:val="clear" w:color="auto" w:fill="auto"/>
          </w:tcPr>
          <w:p w:rsidR="00777667" w:rsidRPr="00777667" w:rsidRDefault="00777667" w:rsidP="00777667">
            <w:pPr>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kern w:val="32"/>
                <w:sz w:val="24"/>
                <w:szCs w:val="24"/>
                <w:lang w:val="ro-RO" w:eastAsia="ru-RU"/>
              </w:rPr>
              <w:t>2. Diagnosticul</w:t>
            </w:r>
          </w:p>
        </w:tc>
      </w:tr>
      <w:tr w:rsidR="00777667" w:rsidRPr="00D645AA" w:rsidTr="004E2582">
        <w:trPr>
          <w:jc w:val="center"/>
        </w:trPr>
        <w:tc>
          <w:tcPr>
            <w:tcW w:w="2059" w:type="dxa"/>
            <w:tcBorders>
              <w:bottom w:val="single" w:sz="4" w:space="0" w:color="auto"/>
            </w:tcBorders>
            <w:shd w:val="clear" w:color="auto" w:fill="auto"/>
          </w:tcPr>
          <w:p w:rsidR="00777667" w:rsidRPr="00777667" w:rsidRDefault="00777667" w:rsidP="00777667">
            <w:pPr>
              <w:spacing w:after="0" w:line="240" w:lineRule="auto"/>
              <w:jc w:val="both"/>
              <w:rPr>
                <w:rFonts w:ascii="Times New Roman" w:eastAsia="Times New Roman" w:hAnsi="Times New Roman" w:cs="Times New Roman"/>
                <w:kern w:val="32"/>
                <w:sz w:val="24"/>
                <w:szCs w:val="24"/>
                <w:lang w:val="ro-RO" w:eastAsia="ru-RU"/>
              </w:rPr>
            </w:pPr>
            <w:r w:rsidRPr="00777667">
              <w:rPr>
                <w:rFonts w:ascii="Times New Roman" w:eastAsia="Times New Roman" w:hAnsi="Times New Roman" w:cs="Times New Roman"/>
                <w:kern w:val="32"/>
                <w:sz w:val="24"/>
                <w:szCs w:val="24"/>
                <w:lang w:val="ro-RO" w:eastAsia="ru-RU"/>
              </w:rPr>
              <w:t xml:space="preserve">Confirmarea </w:t>
            </w:r>
            <w:r w:rsidRPr="00777667">
              <w:rPr>
                <w:rFonts w:ascii="Times New Roman" w:eastAsia="Times New Roman" w:hAnsi="Times New Roman" w:cs="Times New Roman"/>
                <w:kern w:val="32"/>
                <w:sz w:val="24"/>
                <w:szCs w:val="24"/>
                <w:lang w:val="ro-RO" w:eastAsia="ru-RU"/>
              </w:rPr>
              <w:lastRenderedPageBreak/>
              <w:t xml:space="preserve">diagnosticului </w:t>
            </w:r>
          </w:p>
        </w:tc>
        <w:tc>
          <w:tcPr>
            <w:tcW w:w="3544" w:type="dxa"/>
            <w:gridSpan w:val="2"/>
            <w:tcBorders>
              <w:bottom w:val="single" w:sz="4" w:space="0" w:color="auto"/>
            </w:tcBorders>
            <w:shd w:val="clear" w:color="auto" w:fill="auto"/>
          </w:tcPr>
          <w:p w:rsidR="00777667" w:rsidRPr="00777667" w:rsidRDefault="00777667" w:rsidP="00461D8F">
            <w:pPr>
              <w:numPr>
                <w:ilvl w:val="0"/>
                <w:numId w:val="124"/>
              </w:numPr>
              <w:spacing w:before="100" w:after="0" w:line="240" w:lineRule="auto"/>
              <w:ind w:left="0" w:hanging="28"/>
              <w:contextualSpacing/>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lastRenderedPageBreak/>
              <w:t xml:space="preserve">Determinarea stadiului </w:t>
            </w:r>
            <w:r w:rsidRPr="00777667">
              <w:rPr>
                <w:rFonts w:ascii="Times New Roman" w:eastAsia="Times New Roman" w:hAnsi="Times New Roman" w:cs="Times New Roman"/>
                <w:sz w:val="24"/>
                <w:szCs w:val="24"/>
                <w:lang w:val="ro-RO"/>
              </w:rPr>
              <w:lastRenderedPageBreak/>
              <w:t>bolii</w:t>
            </w:r>
          </w:p>
          <w:p w:rsidR="00777667" w:rsidRPr="00777667" w:rsidRDefault="00777667" w:rsidP="00461D8F">
            <w:pPr>
              <w:numPr>
                <w:ilvl w:val="0"/>
                <w:numId w:val="124"/>
              </w:numPr>
              <w:spacing w:before="100" w:after="0" w:line="240" w:lineRule="auto"/>
              <w:ind w:left="0" w:hanging="28"/>
              <w:contextualSpacing/>
              <w:jc w:val="both"/>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Planificarea unui plan optim de tratament.</w:t>
            </w:r>
          </w:p>
        </w:tc>
        <w:tc>
          <w:tcPr>
            <w:tcW w:w="3909" w:type="dxa"/>
            <w:tcBorders>
              <w:bottom w:val="single" w:sz="4" w:space="0" w:color="auto"/>
            </w:tcBorders>
            <w:shd w:val="clear" w:color="auto" w:fill="auto"/>
          </w:tcPr>
          <w:p w:rsidR="00777667" w:rsidRPr="00777667" w:rsidRDefault="00777667" w:rsidP="00777667">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bCs/>
                <w:sz w:val="24"/>
                <w:szCs w:val="24"/>
                <w:lang w:val="ro-RO" w:eastAsia="ru-RU"/>
              </w:rPr>
              <w:lastRenderedPageBreak/>
              <w:t>Standard/Obligatoriu:</w:t>
            </w:r>
          </w:p>
          <w:p w:rsidR="00777667" w:rsidRPr="00777667" w:rsidRDefault="00777667" w:rsidP="00461D8F">
            <w:pPr>
              <w:numPr>
                <w:ilvl w:val="0"/>
                <w:numId w:val="33"/>
              </w:numPr>
              <w:autoSpaceDE w:val="0"/>
              <w:autoSpaceDN w:val="0"/>
              <w:adjustRightInd w:val="0"/>
              <w:spacing w:before="100" w:after="0" w:line="240" w:lineRule="auto"/>
              <w:jc w:val="both"/>
              <w:rPr>
                <w:rFonts w:ascii="Times New Roman" w:eastAsia="Times New Roman" w:hAnsi="Times New Roman" w:cs="Times New Roman"/>
                <w:b/>
                <w:sz w:val="24"/>
                <w:szCs w:val="24"/>
                <w:lang w:val="ro-RO" w:eastAsia="ru-RU"/>
              </w:rPr>
            </w:pPr>
            <w:r w:rsidRPr="00777667">
              <w:rPr>
                <w:rFonts w:ascii="Times New Roman" w:eastAsia="Times New Roman" w:hAnsi="Times New Roman" w:cs="Times New Roman"/>
                <w:sz w:val="24"/>
                <w:szCs w:val="24"/>
                <w:lang w:val="ro-RO" w:eastAsia="ru-RU"/>
              </w:rPr>
              <w:lastRenderedPageBreak/>
              <w:t>Anamneza</w:t>
            </w:r>
            <w:r w:rsidRPr="00777667">
              <w:rPr>
                <w:rFonts w:ascii="Times New Roman" w:eastAsia="Times New Roman" w:hAnsi="Times New Roman" w:cs="Times New Roman"/>
                <w:bCs/>
                <w:sz w:val="24"/>
                <w:szCs w:val="24"/>
                <w:lang w:val="ro-RO" w:eastAsia="ru-RU"/>
              </w:rPr>
              <w:t xml:space="preserve"> </w:t>
            </w:r>
            <w:r w:rsidRPr="00777667">
              <w:rPr>
                <w:rFonts w:ascii="Times New Roman" w:eastAsia="Times New Roman" w:hAnsi="Times New Roman" w:cs="Times New Roman"/>
                <w:b/>
                <w:sz w:val="24"/>
                <w:szCs w:val="24"/>
                <w:lang w:val="ro-RO" w:eastAsia="ru-RU"/>
              </w:rPr>
              <w:t>(Tabelul 8).</w:t>
            </w:r>
          </w:p>
          <w:p w:rsidR="00777667" w:rsidRPr="00777667" w:rsidRDefault="00777667" w:rsidP="00461D8F">
            <w:pPr>
              <w:numPr>
                <w:ilvl w:val="0"/>
                <w:numId w:val="33"/>
              </w:numPr>
              <w:autoSpaceDE w:val="0"/>
              <w:autoSpaceDN w:val="0"/>
              <w:adjustRightInd w:val="0"/>
              <w:spacing w:before="100" w:after="0" w:line="240" w:lineRule="auto"/>
              <w:jc w:val="both"/>
              <w:rPr>
                <w:rFonts w:ascii="Times New Roman" w:eastAsia="Times New Roman" w:hAnsi="Times New Roman" w:cs="Times New Roman"/>
                <w:b/>
                <w:bCs/>
                <w:sz w:val="24"/>
                <w:szCs w:val="24"/>
                <w:lang w:val="ro-RO" w:eastAsia="ru-RU"/>
              </w:rPr>
            </w:pPr>
            <w:r w:rsidRPr="00777667">
              <w:rPr>
                <w:rFonts w:ascii="Times New Roman" w:eastAsia="Times New Roman" w:hAnsi="Times New Roman" w:cs="Times New Roman"/>
                <w:sz w:val="24"/>
                <w:szCs w:val="24"/>
                <w:lang w:val="ro-RO" w:eastAsia="ru-RU"/>
              </w:rPr>
              <w:t xml:space="preserve">Examenul clinic </w:t>
            </w:r>
            <w:r w:rsidRPr="00777667">
              <w:rPr>
                <w:rFonts w:ascii="Times New Roman" w:eastAsia="Times New Roman" w:hAnsi="Times New Roman" w:cs="Times New Roman"/>
                <w:b/>
                <w:bCs/>
                <w:sz w:val="24"/>
                <w:szCs w:val="24"/>
                <w:lang w:val="ro-RO" w:eastAsia="ru-RU"/>
              </w:rPr>
              <w:t>(Caseta 7).</w:t>
            </w:r>
          </w:p>
          <w:p w:rsidR="00777667" w:rsidRPr="00777667" w:rsidRDefault="00777667" w:rsidP="00461D8F">
            <w:pPr>
              <w:numPr>
                <w:ilvl w:val="0"/>
                <w:numId w:val="33"/>
              </w:numPr>
              <w:spacing w:before="100" w:after="0" w:line="240" w:lineRule="auto"/>
              <w:jc w:val="both"/>
              <w:rPr>
                <w:rFonts w:ascii="Times New Roman" w:eastAsia="Times New Roman" w:hAnsi="Times New Roman" w:cs="Times New Roman"/>
                <w:i/>
                <w:sz w:val="24"/>
                <w:szCs w:val="24"/>
                <w:lang w:val="ro-RO" w:eastAsia="ru-RU"/>
              </w:rPr>
            </w:pPr>
            <w:r w:rsidRPr="00777667">
              <w:rPr>
                <w:rFonts w:ascii="Times New Roman" w:eastAsia="Times New Roman" w:hAnsi="Times New Roman" w:cs="Times New Roman"/>
                <w:sz w:val="24"/>
                <w:szCs w:val="24"/>
                <w:lang w:val="ro-RO" w:eastAsia="ru-RU"/>
              </w:rPr>
              <w:t>Investigaţiile paraclinice obligatorii şi recomandate la necesitate</w:t>
            </w:r>
            <w:r w:rsidRPr="00777667">
              <w:rPr>
                <w:rFonts w:ascii="Times New Roman" w:eastAsia="Times New Roman" w:hAnsi="Times New Roman" w:cs="Times New Roman"/>
                <w:bCs/>
                <w:sz w:val="24"/>
                <w:szCs w:val="24"/>
                <w:lang w:val="ro-RO" w:eastAsia="ru-RU"/>
              </w:rPr>
              <w:t xml:space="preserve"> </w:t>
            </w:r>
            <w:r w:rsidRPr="00777667">
              <w:rPr>
                <w:rFonts w:ascii="Times New Roman" w:eastAsia="Times New Roman" w:hAnsi="Times New Roman" w:cs="Times New Roman"/>
                <w:b/>
                <w:sz w:val="24"/>
                <w:szCs w:val="24"/>
                <w:lang w:val="ro-RO" w:eastAsia="ru-RU"/>
              </w:rPr>
              <w:t>(Tabelul 13; Caseta 8)</w:t>
            </w:r>
            <w:r w:rsidRPr="00777667">
              <w:rPr>
                <w:rFonts w:ascii="Times New Roman" w:eastAsia="Times New Roman" w:hAnsi="Times New Roman" w:cs="Times New Roman"/>
                <w:b/>
                <w:i/>
                <w:iCs/>
                <w:sz w:val="24"/>
                <w:szCs w:val="24"/>
                <w:lang w:val="ro-RO" w:eastAsia="ru-RU"/>
              </w:rPr>
              <w:t>.</w:t>
            </w:r>
            <w:r w:rsidRPr="00777667">
              <w:rPr>
                <w:rFonts w:ascii="Times New Roman" w:eastAsia="Times New Roman" w:hAnsi="Times New Roman" w:cs="Times New Roman"/>
                <w:i/>
                <w:iCs/>
                <w:sz w:val="24"/>
                <w:szCs w:val="24"/>
                <w:lang w:val="ro-RO" w:eastAsia="ru-RU"/>
              </w:rPr>
              <w:t xml:space="preserve"> </w:t>
            </w:r>
          </w:p>
          <w:p w:rsidR="00777667" w:rsidRPr="00777667" w:rsidRDefault="00777667" w:rsidP="00461D8F">
            <w:pPr>
              <w:numPr>
                <w:ilvl w:val="0"/>
                <w:numId w:val="33"/>
              </w:numPr>
              <w:spacing w:before="100" w:after="0" w:line="240" w:lineRule="auto"/>
              <w:jc w:val="both"/>
              <w:rPr>
                <w:rFonts w:ascii="Times New Roman" w:eastAsia="Times New Roman" w:hAnsi="Times New Roman" w:cs="Times New Roman"/>
                <w:b/>
                <w:bCs/>
                <w:i/>
                <w:sz w:val="24"/>
                <w:szCs w:val="24"/>
                <w:lang w:val="ro-RO" w:eastAsia="ru-RU"/>
              </w:rPr>
            </w:pPr>
            <w:r w:rsidRPr="00777667">
              <w:rPr>
                <w:rFonts w:ascii="Times New Roman" w:eastAsia="Times New Roman" w:hAnsi="Times New Roman" w:cs="Times New Roman"/>
                <w:sz w:val="24"/>
                <w:szCs w:val="24"/>
                <w:lang w:val="ro-RO" w:eastAsia="ru-RU"/>
              </w:rPr>
              <w:t xml:space="preserve">Diagnosticul clinic pozitiv și diagnosticul diferenţial cu alte patologii </w:t>
            </w:r>
            <w:r w:rsidRPr="00777667">
              <w:rPr>
                <w:rFonts w:ascii="Times New Roman" w:eastAsia="Times New Roman" w:hAnsi="Times New Roman" w:cs="Times New Roman"/>
                <w:b/>
                <w:bCs/>
                <w:sz w:val="24"/>
                <w:szCs w:val="24"/>
                <w:lang w:val="ro-RO" w:eastAsia="ru-RU"/>
              </w:rPr>
              <w:t>(Tabelul 9; Casetele 8 – 14, 16).</w:t>
            </w:r>
          </w:p>
          <w:p w:rsidR="00777667" w:rsidRPr="00777667" w:rsidRDefault="00777667" w:rsidP="00461D8F">
            <w:pPr>
              <w:numPr>
                <w:ilvl w:val="0"/>
                <w:numId w:val="10"/>
              </w:numPr>
              <w:autoSpaceDE w:val="0"/>
              <w:autoSpaceDN w:val="0"/>
              <w:adjustRightInd w:val="0"/>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 xml:space="preserve">Aprecierea severităţii bolii hepatice, a caracterului de evoluţie, a manifestărilor extrahepatice şi a prognosticului </w:t>
            </w:r>
            <w:r w:rsidRPr="00777667">
              <w:rPr>
                <w:rFonts w:ascii="Times New Roman" w:eastAsia="Times New Roman" w:hAnsi="Times New Roman" w:cs="Times New Roman"/>
                <w:b/>
                <w:bCs/>
                <w:sz w:val="24"/>
                <w:szCs w:val="24"/>
                <w:lang w:val="ro-RO" w:eastAsia="ru-RU"/>
              </w:rPr>
              <w:t>(Tabelul 12;</w:t>
            </w:r>
            <w:r w:rsidRPr="00777667">
              <w:rPr>
                <w:rFonts w:ascii="Times New Roman" w:eastAsia="Times New Roman" w:hAnsi="Times New Roman" w:cs="Times New Roman"/>
                <w:sz w:val="24"/>
                <w:szCs w:val="24"/>
                <w:lang w:val="ro-RO" w:eastAsia="ru-RU"/>
              </w:rPr>
              <w:t xml:space="preserve"> </w:t>
            </w:r>
            <w:r w:rsidRPr="00777667">
              <w:rPr>
                <w:rFonts w:ascii="Times New Roman" w:eastAsia="Times New Roman" w:hAnsi="Times New Roman" w:cs="Times New Roman"/>
                <w:b/>
                <w:sz w:val="24"/>
                <w:szCs w:val="24"/>
                <w:lang w:val="ro-RO" w:eastAsia="ru-RU"/>
              </w:rPr>
              <w:t>Casetele 13, 14, 51).</w:t>
            </w:r>
          </w:p>
        </w:tc>
      </w:tr>
      <w:tr w:rsidR="00777667" w:rsidRPr="00777667" w:rsidTr="004E2582">
        <w:trPr>
          <w:jc w:val="center"/>
        </w:trPr>
        <w:tc>
          <w:tcPr>
            <w:tcW w:w="9512" w:type="dxa"/>
            <w:gridSpan w:val="4"/>
            <w:tcBorders>
              <w:top w:val="single" w:sz="4" w:space="0" w:color="auto"/>
              <w:left w:val="single" w:sz="4" w:space="0" w:color="auto"/>
              <w:bottom w:val="single" w:sz="4" w:space="0" w:color="auto"/>
              <w:right w:val="single" w:sz="4" w:space="0" w:color="auto"/>
            </w:tcBorders>
            <w:shd w:val="clear" w:color="auto" w:fill="auto"/>
          </w:tcPr>
          <w:p w:rsidR="00777667" w:rsidRPr="00777667" w:rsidRDefault="00777667" w:rsidP="00777667">
            <w:pPr>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kern w:val="32"/>
                <w:sz w:val="24"/>
                <w:szCs w:val="24"/>
                <w:lang w:val="ro-RO" w:eastAsia="ru-RU"/>
              </w:rPr>
              <w:lastRenderedPageBreak/>
              <w:t>3. Tratamentul</w:t>
            </w:r>
          </w:p>
        </w:tc>
      </w:tr>
      <w:tr w:rsidR="00777667" w:rsidRPr="00D645AA" w:rsidTr="004E2582">
        <w:trPr>
          <w:trHeight w:val="405"/>
          <w:jc w:val="center"/>
        </w:trPr>
        <w:tc>
          <w:tcPr>
            <w:tcW w:w="2059" w:type="dxa"/>
            <w:tcBorders>
              <w:top w:val="single" w:sz="4" w:space="0" w:color="auto"/>
            </w:tcBorders>
            <w:shd w:val="clear" w:color="auto" w:fill="auto"/>
          </w:tcPr>
          <w:p w:rsidR="00777667" w:rsidRPr="00777667" w:rsidRDefault="00777667" w:rsidP="00777667">
            <w:pPr>
              <w:spacing w:after="0" w:line="240" w:lineRule="auto"/>
              <w:jc w:val="both"/>
              <w:rPr>
                <w:rFonts w:ascii="Times New Roman" w:eastAsia="Times New Roman" w:hAnsi="Times New Roman" w:cs="Times New Roman"/>
                <w:kern w:val="32"/>
                <w:sz w:val="24"/>
                <w:szCs w:val="24"/>
                <w:lang w:val="ro-RO" w:eastAsia="ru-RU"/>
              </w:rPr>
            </w:pPr>
            <w:r w:rsidRPr="00777667">
              <w:rPr>
                <w:rFonts w:ascii="Times New Roman" w:eastAsia="Times New Roman" w:hAnsi="Times New Roman" w:cs="Times New Roman"/>
                <w:kern w:val="32"/>
                <w:sz w:val="24"/>
                <w:szCs w:val="24"/>
                <w:lang w:val="ro-RO" w:eastAsia="ru-RU"/>
              </w:rPr>
              <w:t>3.1. Tratamentul nemedicamentos</w:t>
            </w:r>
          </w:p>
        </w:tc>
        <w:tc>
          <w:tcPr>
            <w:tcW w:w="3544" w:type="dxa"/>
            <w:gridSpan w:val="2"/>
            <w:tcBorders>
              <w:top w:val="single" w:sz="4" w:space="0" w:color="auto"/>
            </w:tcBorders>
            <w:shd w:val="clear" w:color="auto" w:fill="auto"/>
          </w:tcPr>
          <w:p w:rsidR="00777667" w:rsidRPr="00777667" w:rsidRDefault="00777667" w:rsidP="00777667">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Optimizarea regimului de viaţă şi alimentaţia raţională va diminua progresarea procesului patologic în ficat şi va preveni dezvoltarea complicaţiilor</w:t>
            </w:r>
          </w:p>
        </w:tc>
        <w:tc>
          <w:tcPr>
            <w:tcW w:w="3909" w:type="dxa"/>
            <w:tcBorders>
              <w:top w:val="single" w:sz="4" w:space="0" w:color="auto"/>
            </w:tcBorders>
            <w:shd w:val="clear" w:color="auto" w:fill="auto"/>
          </w:tcPr>
          <w:p w:rsidR="00777667" w:rsidRPr="00777667" w:rsidRDefault="00777667" w:rsidP="00777667">
            <w:pPr>
              <w:autoSpaceDE w:val="0"/>
              <w:autoSpaceDN w:val="0"/>
              <w:adjustRightInd w:val="0"/>
              <w:spacing w:after="0" w:line="240" w:lineRule="auto"/>
              <w:jc w:val="both"/>
              <w:rPr>
                <w:rFonts w:ascii="Times New Roman" w:eastAsia="Times New Roman" w:hAnsi="Times New Roman" w:cs="Times New Roman"/>
                <w:b/>
                <w:bCs/>
                <w:sz w:val="24"/>
                <w:szCs w:val="24"/>
                <w:lang w:val="ro-RO" w:eastAsia="ru-RU"/>
              </w:rPr>
            </w:pPr>
            <w:r w:rsidRPr="00777667">
              <w:rPr>
                <w:rFonts w:ascii="Times New Roman" w:eastAsia="Times New Roman" w:hAnsi="Times New Roman" w:cs="Times New Roman"/>
                <w:b/>
                <w:bCs/>
                <w:sz w:val="24"/>
                <w:szCs w:val="24"/>
                <w:lang w:val="ro-RO" w:eastAsia="ru-RU"/>
              </w:rPr>
              <w:t>Standard/Obligatoriu:</w:t>
            </w:r>
          </w:p>
          <w:p w:rsidR="00777667" w:rsidRPr="00777667" w:rsidRDefault="00777667" w:rsidP="00777667">
            <w:pPr>
              <w:autoSpaceDE w:val="0"/>
              <w:autoSpaceDN w:val="0"/>
              <w:adjustRightInd w:val="0"/>
              <w:spacing w:after="0" w:line="240" w:lineRule="auto"/>
              <w:jc w:val="both"/>
              <w:rPr>
                <w:rFonts w:ascii="Times New Roman" w:eastAsia="Times New Roman" w:hAnsi="Times New Roman" w:cs="Times New Roman"/>
                <w:b/>
                <w:bCs/>
                <w:sz w:val="24"/>
                <w:szCs w:val="24"/>
                <w:lang w:val="ro-RO" w:eastAsia="ru-RU"/>
              </w:rPr>
            </w:pPr>
            <w:r w:rsidRPr="00777667">
              <w:rPr>
                <w:rFonts w:ascii="Times New Roman" w:eastAsia="Times New Roman" w:hAnsi="Times New Roman" w:cs="Times New Roman"/>
                <w:b/>
                <w:bCs/>
                <w:sz w:val="24"/>
                <w:szCs w:val="24"/>
                <w:lang w:val="ro-RO" w:eastAsia="ru-RU"/>
              </w:rPr>
              <w:t>•</w:t>
            </w:r>
            <w:r w:rsidRPr="00777667">
              <w:rPr>
                <w:rFonts w:ascii="Times New Roman" w:eastAsia="Times New Roman" w:hAnsi="Times New Roman" w:cs="Times New Roman"/>
                <w:b/>
                <w:bCs/>
                <w:sz w:val="24"/>
                <w:szCs w:val="24"/>
                <w:lang w:val="ro-RO" w:eastAsia="ru-RU"/>
              </w:rPr>
              <w:tab/>
            </w:r>
            <w:r w:rsidRPr="00777667">
              <w:rPr>
                <w:rFonts w:ascii="Times New Roman" w:eastAsia="Times New Roman" w:hAnsi="Times New Roman" w:cs="Times New Roman"/>
                <w:sz w:val="24"/>
                <w:szCs w:val="24"/>
                <w:lang w:val="ro-RO" w:eastAsia="ru-RU"/>
              </w:rPr>
              <w:t>Recomandări privind modificările comportamentului (</w:t>
            </w:r>
            <w:r w:rsidRPr="00777667">
              <w:rPr>
                <w:rFonts w:ascii="Times New Roman" w:eastAsia="Times New Roman" w:hAnsi="Times New Roman" w:cs="Times New Roman"/>
                <w:b/>
                <w:bCs/>
                <w:sz w:val="24"/>
                <w:szCs w:val="24"/>
                <w:lang w:val="ro-RO" w:eastAsia="ru-RU"/>
              </w:rPr>
              <w:t>Tabelele 6, 24, 25</w:t>
            </w:r>
            <w:r w:rsidRPr="00777667">
              <w:rPr>
                <w:rFonts w:ascii="Times New Roman" w:eastAsia="Times New Roman" w:hAnsi="Times New Roman" w:cs="Times New Roman"/>
                <w:sz w:val="24"/>
                <w:szCs w:val="24"/>
                <w:lang w:val="ro-RO" w:eastAsia="ru-RU"/>
              </w:rPr>
              <w:t>).</w:t>
            </w:r>
          </w:p>
        </w:tc>
      </w:tr>
      <w:tr w:rsidR="00777667" w:rsidRPr="00D645AA" w:rsidTr="004E2582">
        <w:trPr>
          <w:trHeight w:val="416"/>
          <w:jc w:val="center"/>
        </w:trPr>
        <w:tc>
          <w:tcPr>
            <w:tcW w:w="2059" w:type="dxa"/>
            <w:shd w:val="clear" w:color="auto" w:fill="auto"/>
          </w:tcPr>
          <w:p w:rsidR="00777667" w:rsidRPr="00777667" w:rsidRDefault="00777667" w:rsidP="00777667">
            <w:pPr>
              <w:spacing w:after="0" w:line="240" w:lineRule="auto"/>
              <w:jc w:val="both"/>
              <w:rPr>
                <w:rFonts w:ascii="Times New Roman" w:eastAsia="Times New Roman" w:hAnsi="Times New Roman" w:cs="Times New Roman"/>
                <w:kern w:val="32"/>
                <w:sz w:val="24"/>
                <w:szCs w:val="24"/>
                <w:lang w:val="ro-RO" w:eastAsia="ru-RU"/>
              </w:rPr>
            </w:pPr>
            <w:r w:rsidRPr="00777667">
              <w:rPr>
                <w:rFonts w:ascii="Times New Roman" w:eastAsia="Times New Roman" w:hAnsi="Times New Roman" w:cs="Times New Roman"/>
                <w:kern w:val="32"/>
                <w:sz w:val="24"/>
                <w:szCs w:val="24"/>
                <w:lang w:val="ro-RO" w:eastAsia="ru-RU"/>
              </w:rPr>
              <w:t>3.2. Tratamentul medicamentos</w:t>
            </w:r>
          </w:p>
        </w:tc>
        <w:tc>
          <w:tcPr>
            <w:tcW w:w="3544" w:type="dxa"/>
            <w:gridSpan w:val="2"/>
            <w:shd w:val="clear" w:color="auto" w:fill="auto"/>
          </w:tcPr>
          <w:p w:rsidR="00777667" w:rsidRPr="00777667" w:rsidRDefault="00777667" w:rsidP="00461D8F">
            <w:pPr>
              <w:numPr>
                <w:ilvl w:val="0"/>
                <w:numId w:val="123"/>
              </w:numPr>
              <w:spacing w:before="100" w:after="0" w:line="240" w:lineRule="auto"/>
              <w:contextualSpacing/>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eradicarea definitivă a VHC</w:t>
            </w:r>
          </w:p>
          <w:p w:rsidR="00777667" w:rsidRPr="00777667" w:rsidRDefault="00777667" w:rsidP="00461D8F">
            <w:pPr>
              <w:numPr>
                <w:ilvl w:val="0"/>
                <w:numId w:val="123"/>
              </w:numPr>
              <w:spacing w:before="100" w:after="0" w:line="240" w:lineRule="auto"/>
              <w:contextualSpacing/>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prevenirea complicațiilor bolilor hepatice și extrahepatice cauzate de infecția cu VHC</w:t>
            </w:r>
          </w:p>
          <w:p w:rsidR="00777667" w:rsidRPr="00777667" w:rsidRDefault="00777667" w:rsidP="00461D8F">
            <w:pPr>
              <w:numPr>
                <w:ilvl w:val="0"/>
                <w:numId w:val="123"/>
              </w:numPr>
              <w:spacing w:before="100" w:after="0" w:line="240" w:lineRule="auto"/>
              <w:contextualSpacing/>
              <w:rPr>
                <w:rFonts w:ascii="Times New Roman" w:eastAsia="Times New Roman" w:hAnsi="Times New Roman" w:cs="Times New Roman"/>
                <w:sz w:val="24"/>
                <w:szCs w:val="24"/>
                <w:lang w:val="ro-RO"/>
              </w:rPr>
            </w:pPr>
            <w:r w:rsidRPr="00777667">
              <w:rPr>
                <w:rFonts w:ascii="Times New Roman" w:eastAsia="Times New Roman" w:hAnsi="Times New Roman" w:cs="Times New Roman"/>
                <w:sz w:val="24"/>
                <w:szCs w:val="24"/>
                <w:lang w:val="ro-RO"/>
              </w:rPr>
              <w:t>ameliorarea calității vieții</w:t>
            </w:r>
            <w:r w:rsidRPr="00777667">
              <w:rPr>
                <w:rFonts w:ascii="Times New Roman" w:eastAsia="Times New Roman" w:hAnsi="Times New Roman" w:cs="Times New Roman"/>
                <w:kern w:val="24"/>
                <w:sz w:val="24"/>
                <w:szCs w:val="24"/>
                <w:lang w:val="ro-RO" w:eastAsia="ru-RU"/>
              </w:rPr>
              <w:t xml:space="preserve"> </w:t>
            </w:r>
            <w:r w:rsidRPr="00777667">
              <w:rPr>
                <w:rFonts w:ascii="Times New Roman" w:eastAsia="Times New Roman" w:hAnsi="Times New Roman" w:cs="Times New Roman"/>
                <w:sz w:val="24"/>
                <w:szCs w:val="24"/>
                <w:lang w:val="ro-RO"/>
              </w:rPr>
              <w:t>și prevenirea transmiterii ulterioare a VHC</w:t>
            </w:r>
            <w:r w:rsidRPr="00777667">
              <w:rPr>
                <w:rFonts w:ascii="Times New Roman" w:eastAsia="Times New Roman" w:hAnsi="Times New Roman" w:cs="Times New Roman"/>
                <w:color w:val="000000"/>
                <w:sz w:val="24"/>
                <w:szCs w:val="24"/>
                <w:lang w:val="ro-RO"/>
              </w:rPr>
              <w:t>.</w:t>
            </w:r>
          </w:p>
        </w:tc>
        <w:tc>
          <w:tcPr>
            <w:tcW w:w="3909" w:type="dxa"/>
            <w:shd w:val="clear" w:color="auto" w:fill="auto"/>
          </w:tcPr>
          <w:p w:rsidR="00777667" w:rsidRPr="00777667" w:rsidRDefault="00777667" w:rsidP="00777667">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b/>
                <w:bCs/>
                <w:sz w:val="24"/>
                <w:szCs w:val="24"/>
                <w:lang w:val="ro-RO" w:eastAsia="ru-RU"/>
              </w:rPr>
              <w:t>Standard/Obligatoriu:</w:t>
            </w:r>
          </w:p>
          <w:p w:rsidR="00777667" w:rsidRPr="00777667" w:rsidRDefault="00777667" w:rsidP="00461D8F">
            <w:pPr>
              <w:numPr>
                <w:ilvl w:val="0"/>
                <w:numId w:val="34"/>
              </w:numPr>
              <w:spacing w:before="100" w:after="0" w:line="240" w:lineRule="auto"/>
              <w:jc w:val="both"/>
              <w:rPr>
                <w:rFonts w:ascii="Times New Roman" w:eastAsia="Times New Roman" w:hAnsi="Times New Roman" w:cs="Times New Roman"/>
                <w:b/>
                <w:i/>
                <w:sz w:val="24"/>
                <w:szCs w:val="24"/>
                <w:lang w:val="ro-RO" w:eastAsia="ru-RU"/>
              </w:rPr>
            </w:pPr>
            <w:r w:rsidRPr="00777667">
              <w:rPr>
                <w:rFonts w:ascii="Times New Roman" w:eastAsia="Times New Roman" w:hAnsi="Times New Roman" w:cs="Times New Roman"/>
                <w:sz w:val="24"/>
                <w:szCs w:val="24"/>
                <w:lang w:val="ro-RO" w:bidi="en-US"/>
              </w:rPr>
              <w:t xml:space="preserve">Decizia de inițiere sau de prelungire (daca a fost iniţiat la etapa precedentă) a tratamentului antiviral se va lua în consiliu medical, personalizat pentru particularitățile fiecărui caz în parte </w:t>
            </w:r>
            <w:r w:rsidRPr="00777667">
              <w:rPr>
                <w:rFonts w:ascii="Times New Roman" w:eastAsia="Times New Roman" w:hAnsi="Times New Roman" w:cs="Times New Roman"/>
                <w:b/>
                <w:iCs/>
                <w:sz w:val="24"/>
                <w:szCs w:val="24"/>
                <w:lang w:val="ro-RO" w:eastAsia="ru-RU"/>
              </w:rPr>
              <w:t xml:space="preserve">(Tabelele 15-22 ; </w:t>
            </w:r>
            <w:r w:rsidRPr="00777667">
              <w:rPr>
                <w:rFonts w:ascii="Times New Roman" w:eastAsia="Times New Roman" w:hAnsi="Times New Roman" w:cs="Times New Roman"/>
                <w:b/>
                <w:sz w:val="24"/>
                <w:szCs w:val="24"/>
                <w:lang w:val="ro-RO" w:eastAsia="ru-RU"/>
              </w:rPr>
              <w:t>Casetele 19-50</w:t>
            </w:r>
            <w:r w:rsidRPr="00777667">
              <w:rPr>
                <w:rFonts w:ascii="Times New Roman" w:eastAsia="Times New Roman" w:hAnsi="Times New Roman" w:cs="Times New Roman"/>
                <w:b/>
                <w:iCs/>
                <w:sz w:val="24"/>
                <w:szCs w:val="24"/>
                <w:lang w:val="ro-RO" w:eastAsia="ru-RU"/>
              </w:rPr>
              <w:t>).</w:t>
            </w:r>
          </w:p>
        </w:tc>
      </w:tr>
      <w:tr w:rsidR="00777667" w:rsidRPr="00D645AA" w:rsidTr="004E2582">
        <w:trPr>
          <w:jc w:val="center"/>
        </w:trPr>
        <w:tc>
          <w:tcPr>
            <w:tcW w:w="2059" w:type="dxa"/>
            <w:shd w:val="clear" w:color="auto" w:fill="auto"/>
          </w:tcPr>
          <w:p w:rsidR="00777667" w:rsidRPr="00777667" w:rsidRDefault="00777667" w:rsidP="00777667">
            <w:pPr>
              <w:spacing w:after="0" w:line="240" w:lineRule="auto"/>
              <w:jc w:val="both"/>
              <w:rPr>
                <w:rFonts w:ascii="Times New Roman" w:eastAsia="Times New Roman" w:hAnsi="Times New Roman" w:cs="Times New Roman"/>
                <w:b/>
                <w:kern w:val="32"/>
                <w:sz w:val="24"/>
                <w:szCs w:val="24"/>
                <w:lang w:val="ro-RO" w:eastAsia="ru-RU"/>
              </w:rPr>
            </w:pPr>
            <w:r w:rsidRPr="00777667">
              <w:rPr>
                <w:rFonts w:ascii="Times New Roman" w:eastAsia="Times New Roman" w:hAnsi="Times New Roman" w:cs="Times New Roman"/>
                <w:b/>
                <w:kern w:val="32"/>
                <w:sz w:val="24"/>
                <w:szCs w:val="24"/>
                <w:lang w:val="ro-RO" w:eastAsia="ru-RU"/>
              </w:rPr>
              <w:t>4. Externarea</w:t>
            </w:r>
          </w:p>
        </w:tc>
        <w:tc>
          <w:tcPr>
            <w:tcW w:w="3544" w:type="dxa"/>
            <w:gridSpan w:val="2"/>
            <w:shd w:val="clear" w:color="auto" w:fill="auto"/>
          </w:tcPr>
          <w:p w:rsidR="00777667" w:rsidRPr="00777667" w:rsidRDefault="00777667" w:rsidP="00777667">
            <w:pPr>
              <w:spacing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La externare este necesar de elaborat şi de recomandat medicului de familie tactica ulterioară de management al pacientului [34].</w:t>
            </w:r>
          </w:p>
        </w:tc>
        <w:tc>
          <w:tcPr>
            <w:tcW w:w="3909" w:type="dxa"/>
            <w:shd w:val="clear" w:color="auto" w:fill="auto"/>
          </w:tcPr>
          <w:p w:rsidR="00777667" w:rsidRPr="00777667" w:rsidRDefault="00777667" w:rsidP="00777667">
            <w:pPr>
              <w:spacing w:after="0" w:line="240" w:lineRule="auto"/>
              <w:contextualSpacing/>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 xml:space="preserve">Extrasul </w:t>
            </w:r>
            <w:r w:rsidRPr="00777667">
              <w:rPr>
                <w:rFonts w:ascii="Times New Roman" w:eastAsia="Times New Roman" w:hAnsi="Times New Roman" w:cs="Times New Roman"/>
                <w:b/>
                <w:i/>
                <w:sz w:val="24"/>
                <w:szCs w:val="24"/>
                <w:lang w:val="ro-RO" w:eastAsia="ru-RU"/>
              </w:rPr>
              <w:t>obligatoriu</w:t>
            </w:r>
            <w:r w:rsidRPr="00777667">
              <w:rPr>
                <w:rFonts w:ascii="Times New Roman" w:eastAsia="Times New Roman" w:hAnsi="Times New Roman" w:cs="Times New Roman"/>
                <w:sz w:val="24"/>
                <w:szCs w:val="24"/>
                <w:lang w:val="ro-RO" w:eastAsia="ru-RU"/>
              </w:rPr>
              <w:t xml:space="preserve"> va conţine: </w:t>
            </w:r>
          </w:p>
          <w:p w:rsidR="00777667" w:rsidRPr="00777667" w:rsidRDefault="00777667" w:rsidP="00461D8F">
            <w:pPr>
              <w:numPr>
                <w:ilvl w:val="0"/>
                <w:numId w:val="6"/>
              </w:numPr>
              <w:autoSpaceDE w:val="0"/>
              <w:autoSpaceDN w:val="0"/>
              <w:adjustRightInd w:val="0"/>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 xml:space="preserve">diagnosticul complet detaliat; </w:t>
            </w:r>
          </w:p>
          <w:p w:rsidR="00777667" w:rsidRPr="00777667" w:rsidRDefault="00777667" w:rsidP="00461D8F">
            <w:pPr>
              <w:numPr>
                <w:ilvl w:val="0"/>
                <w:numId w:val="6"/>
              </w:numPr>
              <w:autoSpaceDE w:val="0"/>
              <w:autoSpaceDN w:val="0"/>
              <w:adjustRightInd w:val="0"/>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 xml:space="preserve">rezultatele investigaţiilor şi ale tratamentului efectuat; </w:t>
            </w:r>
          </w:p>
          <w:p w:rsidR="00777667" w:rsidRPr="00777667" w:rsidRDefault="00777667" w:rsidP="00461D8F">
            <w:pPr>
              <w:numPr>
                <w:ilvl w:val="0"/>
                <w:numId w:val="6"/>
              </w:numPr>
              <w:autoSpaceDE w:val="0"/>
              <w:autoSpaceDN w:val="0"/>
              <w:adjustRightInd w:val="0"/>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 xml:space="preserve">recomandările explicite pentru pacient; </w:t>
            </w:r>
          </w:p>
          <w:p w:rsidR="00777667" w:rsidRPr="00777667" w:rsidRDefault="00777667" w:rsidP="00461D8F">
            <w:pPr>
              <w:numPr>
                <w:ilvl w:val="0"/>
                <w:numId w:val="6"/>
              </w:numPr>
              <w:spacing w:before="100" w:after="0" w:line="240" w:lineRule="auto"/>
              <w:jc w:val="both"/>
              <w:rPr>
                <w:rFonts w:ascii="Times New Roman" w:eastAsia="Times New Roman" w:hAnsi="Times New Roman" w:cs="Times New Roman"/>
                <w:sz w:val="24"/>
                <w:szCs w:val="24"/>
                <w:lang w:val="ro-RO" w:eastAsia="ru-RU"/>
              </w:rPr>
            </w:pPr>
            <w:r w:rsidRPr="00777667">
              <w:rPr>
                <w:rFonts w:ascii="Times New Roman" w:eastAsia="Times New Roman" w:hAnsi="Times New Roman" w:cs="Times New Roman"/>
                <w:sz w:val="24"/>
                <w:szCs w:val="24"/>
                <w:lang w:val="ro-RO" w:eastAsia="ru-RU"/>
              </w:rPr>
              <w:t>recomandările pentru medicul de familie.</w:t>
            </w:r>
          </w:p>
        </w:tc>
      </w:tr>
    </w:tbl>
    <w:p w:rsidR="00777667" w:rsidRDefault="00777667">
      <w:pPr>
        <w:rPr>
          <w:rFonts w:ascii="Times New Roman" w:hAnsi="Times New Roman" w:cs="Times New Roman"/>
          <w:sz w:val="24"/>
          <w:szCs w:val="24"/>
          <w:lang w:val="ro-RO"/>
        </w:rPr>
      </w:pPr>
    </w:p>
    <w:p w:rsidR="0039479B" w:rsidRDefault="0039479B">
      <w:pPr>
        <w:rPr>
          <w:rFonts w:ascii="Times New Roman" w:hAnsi="Times New Roman" w:cs="Times New Roman"/>
          <w:sz w:val="24"/>
          <w:szCs w:val="24"/>
          <w:lang w:val="ro-RO"/>
        </w:rPr>
      </w:pPr>
    </w:p>
    <w:p w:rsidR="00FF2EF7" w:rsidRDefault="00FF2EF7">
      <w:pPr>
        <w:rPr>
          <w:rFonts w:ascii="Times New Roman" w:hAnsi="Times New Roman" w:cs="Times New Roman"/>
          <w:sz w:val="24"/>
          <w:szCs w:val="24"/>
          <w:lang w:val="ro-RO"/>
        </w:rPr>
      </w:pPr>
      <w:bookmarkStart w:id="33" w:name="_Toc177994787"/>
    </w:p>
    <w:p w:rsidR="004E2582" w:rsidRDefault="004E2582">
      <w:pPr>
        <w:rPr>
          <w:rFonts w:ascii="Times New Roman" w:hAnsi="Times New Roman" w:cs="Times New Roman"/>
          <w:sz w:val="24"/>
          <w:szCs w:val="24"/>
          <w:lang w:val="ro-RO"/>
        </w:rPr>
      </w:pPr>
    </w:p>
    <w:p w:rsidR="00FF2EF7" w:rsidRDefault="00FF2EF7">
      <w:pPr>
        <w:rPr>
          <w:rFonts w:ascii="Times New Roman" w:hAnsi="Times New Roman" w:cs="Times New Roman"/>
          <w:sz w:val="24"/>
          <w:szCs w:val="24"/>
          <w:lang w:val="ro-RO"/>
        </w:rPr>
      </w:pPr>
    </w:p>
    <w:p w:rsidR="0039479B" w:rsidRDefault="0039479B">
      <w:pPr>
        <w:rPr>
          <w:rFonts w:ascii="Times New Roman" w:hAnsi="Times New Roman" w:cs="Times New Roman"/>
          <w:sz w:val="24"/>
          <w:szCs w:val="24"/>
          <w:lang w:val="ro-RO"/>
        </w:rPr>
      </w:pPr>
      <w:r w:rsidRPr="0039479B">
        <w:rPr>
          <w:rFonts w:ascii="Times New Roman" w:hAnsi="Times New Roman" w:cs="Times New Roman"/>
          <w:sz w:val="24"/>
          <w:szCs w:val="24"/>
          <w:lang w:val="ro-RO"/>
        </w:rPr>
        <w:lastRenderedPageBreak/>
        <w:t>C.1. ALGORITMI DE CONDUITĂ</w:t>
      </w:r>
      <w:bookmarkEnd w:id="33"/>
    </w:p>
    <w:p w:rsidR="0039479B" w:rsidRPr="0039479B" w:rsidRDefault="0039479B" w:rsidP="0039479B">
      <w:pPr>
        <w:spacing w:after="0" w:line="240" w:lineRule="auto"/>
        <w:jc w:val="both"/>
        <w:rPr>
          <w:rFonts w:ascii="Times New Roman" w:eastAsia="Times New Roman" w:hAnsi="Times New Roman" w:cs="Times New Roman"/>
          <w:b/>
          <w:bCs/>
          <w:sz w:val="24"/>
          <w:szCs w:val="24"/>
          <w:lang w:val="ro-RO" w:eastAsia="ru-RU"/>
        </w:rPr>
      </w:pPr>
      <w:bookmarkStart w:id="34" w:name="_Toc177994788"/>
      <w:r w:rsidRPr="0039479B">
        <w:rPr>
          <w:rFonts w:ascii="Times New Roman" w:eastAsia="Times New Roman" w:hAnsi="Times New Roman" w:cs="Calibri"/>
          <w:b/>
          <w:bCs/>
          <w:spacing w:val="15"/>
          <w:sz w:val="24"/>
          <w:szCs w:val="20"/>
          <w:lang w:val="ro-RO" w:eastAsia="x-none"/>
        </w:rPr>
        <w:t>C.1.1. Algoritm de screening și diagnostic al infecției cronice cu virusul hepatitei C</w:t>
      </w:r>
      <w:bookmarkEnd w:id="34"/>
      <w:r w:rsidRPr="0039479B">
        <w:rPr>
          <w:rFonts w:ascii="Times New Roman" w:eastAsia="Times New Roman" w:hAnsi="Times New Roman" w:cs="Times New Roman"/>
          <w:color w:val="232323"/>
          <w:sz w:val="24"/>
          <w:szCs w:val="24"/>
          <w:lang w:val="ro-RO" w:eastAsia="ru-RU"/>
        </w:rPr>
        <w:t xml:space="preserve"> l</w:t>
      </w:r>
      <w:r w:rsidRPr="0039479B">
        <w:rPr>
          <w:rFonts w:ascii="Times New Roman" w:eastAsia="Times New Roman" w:hAnsi="Times New Roman" w:cs="Times New Roman"/>
          <w:b/>
          <w:bCs/>
          <w:color w:val="232323"/>
          <w:sz w:val="24"/>
          <w:szCs w:val="24"/>
          <w:lang w:val="ro-RO" w:eastAsia="ru-RU"/>
        </w:rPr>
        <w:t>a adulții cu vârsta ≥18 ani [</w:t>
      </w:r>
      <w:r w:rsidRPr="0039479B">
        <w:rPr>
          <w:rFonts w:ascii="Times New Roman" w:eastAsia="Times New Roman" w:hAnsi="Times New Roman" w:cs="Times New Roman"/>
          <w:sz w:val="24"/>
          <w:szCs w:val="24"/>
          <w:lang w:val="ro-RO" w:eastAsia="ru-RU"/>
        </w:rPr>
        <w:t>Screening and diagnosis of chronic HCV in adults – UpToDate/11.12.2023</w:t>
      </w:r>
      <w:r w:rsidRPr="0039479B">
        <w:rPr>
          <w:rFonts w:ascii="Times New Roman" w:eastAsia="Times New Roman" w:hAnsi="Times New Roman" w:cs="Times New Roman"/>
          <w:b/>
          <w:bCs/>
          <w:color w:val="232323"/>
          <w:sz w:val="24"/>
          <w:szCs w:val="24"/>
          <w:lang w:val="ro-RO" w:eastAsia="ru-RU"/>
        </w:rPr>
        <w:t>]</w:t>
      </w:r>
    </w:p>
    <w:p w:rsidR="0039479B" w:rsidRPr="0039479B" w:rsidRDefault="0039479B" w:rsidP="0039479B">
      <w:pPr>
        <w:spacing w:after="0" w:line="240" w:lineRule="auto"/>
        <w:jc w:val="both"/>
        <w:rPr>
          <w:rFonts w:ascii="Times New Roman" w:eastAsia="Times New Roman" w:hAnsi="Times New Roman" w:cs="Times New Roman"/>
          <w:color w:val="232323"/>
          <w:sz w:val="24"/>
          <w:szCs w:val="24"/>
          <w:lang w:val="ro-RO" w:eastAsia="ru-RU"/>
        </w:rPr>
      </w:pPr>
      <w:r>
        <w:rPr>
          <w:rFonts w:ascii="Times New Roman" w:eastAsia="Times New Roman" w:hAnsi="Times New Roman" w:cs="Times New Roman"/>
          <w:noProof/>
          <w:sz w:val="24"/>
          <w:szCs w:val="20"/>
          <w:lang w:eastAsia="ru-RU"/>
        </w:rPr>
        <w:drawing>
          <wp:inline distT="0" distB="0" distL="0" distR="0">
            <wp:extent cx="5772150" cy="714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7143750"/>
                    </a:xfrm>
                    <a:prstGeom prst="rect">
                      <a:avLst/>
                    </a:prstGeom>
                    <a:noFill/>
                    <a:ln>
                      <a:noFill/>
                    </a:ln>
                  </pic:spPr>
                </pic:pic>
              </a:graphicData>
            </a:graphic>
          </wp:inline>
        </w:drawing>
      </w:r>
    </w:p>
    <w:p w:rsidR="0039479B" w:rsidRPr="0039479B" w:rsidRDefault="0039479B" w:rsidP="0039479B">
      <w:pPr>
        <w:spacing w:after="0" w:line="240" w:lineRule="auto"/>
        <w:jc w:val="both"/>
        <w:rPr>
          <w:rFonts w:ascii="Times New Roman" w:eastAsia="Times New Roman" w:hAnsi="Times New Roman" w:cs="Times New Roman"/>
          <w:color w:val="232323"/>
          <w:sz w:val="24"/>
          <w:szCs w:val="24"/>
          <w:lang w:val="ro-RO" w:eastAsia="ru-RU"/>
        </w:rPr>
      </w:pPr>
      <w:r w:rsidRPr="0039479B">
        <w:rPr>
          <w:rFonts w:ascii="Times New Roman" w:eastAsia="Times New Roman" w:hAnsi="Times New Roman" w:cs="Times New Roman"/>
          <w:b/>
          <w:bCs/>
          <w:i/>
          <w:iCs/>
          <w:color w:val="232323"/>
          <w:sz w:val="24"/>
          <w:szCs w:val="24"/>
          <w:lang w:val="ro-RO" w:eastAsia="ru-RU"/>
        </w:rPr>
        <w:t>Recomandare:</w:t>
      </w:r>
      <w:r w:rsidRPr="0039479B">
        <w:rPr>
          <w:rFonts w:ascii="Times New Roman" w:eastAsia="Times New Roman" w:hAnsi="Times New Roman" w:cs="Times New Roman"/>
          <w:color w:val="232323"/>
          <w:sz w:val="24"/>
          <w:szCs w:val="24"/>
          <w:lang w:val="ro-RO" w:eastAsia="ru-RU"/>
        </w:rPr>
        <w:t xml:space="preserve"> SE recomandă cel puțin o singură dată screening pentru infecția cronică cu VHC la toți adulții ≥18 ani. Pacienții cu risc continuu de expunere justifică screeningul repetat.</w:t>
      </w:r>
    </w:p>
    <w:p w:rsidR="0039479B" w:rsidRPr="0039479B" w:rsidRDefault="0039479B" w:rsidP="0039479B">
      <w:pPr>
        <w:spacing w:after="0" w:line="240" w:lineRule="auto"/>
        <w:jc w:val="both"/>
        <w:rPr>
          <w:rFonts w:ascii="Times New Roman" w:eastAsia="Times New Roman" w:hAnsi="Times New Roman" w:cs="Times New Roman"/>
          <w:color w:val="232323"/>
          <w:sz w:val="24"/>
          <w:szCs w:val="24"/>
          <w:lang w:val="ro-RO" w:eastAsia="ru-RU"/>
        </w:rPr>
      </w:pPr>
      <w:r w:rsidRPr="0039479B">
        <w:rPr>
          <w:rFonts w:ascii="Times New Roman" w:eastAsia="Times New Roman" w:hAnsi="Times New Roman" w:cs="Times New Roman"/>
          <w:b/>
          <w:bCs/>
          <w:i/>
          <w:iCs/>
          <w:color w:val="232323"/>
          <w:sz w:val="24"/>
          <w:szCs w:val="24"/>
          <w:lang w:val="ro-RO" w:eastAsia="ru-RU"/>
        </w:rPr>
        <w:lastRenderedPageBreak/>
        <w:t>Abrevieri:</w:t>
      </w:r>
      <w:r w:rsidRPr="0039479B">
        <w:rPr>
          <w:rFonts w:ascii="Times New Roman" w:eastAsia="Times New Roman" w:hAnsi="Times New Roman" w:cs="Times New Roman"/>
          <w:color w:val="232323"/>
          <w:sz w:val="24"/>
          <w:szCs w:val="24"/>
          <w:lang w:val="ro-RO" w:eastAsia="ru-RU"/>
        </w:rPr>
        <w:t xml:space="preserve"> VHC: virusul hepatitei C; BSB: bărbați care fac sex cu bărbați; ARN: acid ribonucleic.</w:t>
      </w:r>
      <w:r w:rsidRPr="0039479B">
        <w:rPr>
          <w:rFonts w:ascii="Times New Roman" w:eastAsia="Times New Roman" w:hAnsi="Times New Roman" w:cs="Times New Roman"/>
          <w:color w:val="232323"/>
          <w:sz w:val="24"/>
          <w:szCs w:val="24"/>
          <w:lang w:val="ro-RO" w:eastAsia="ru-RU"/>
        </w:rPr>
        <w:br/>
      </w:r>
      <w:r w:rsidRPr="0039479B">
        <w:rPr>
          <w:rFonts w:ascii="Times New Roman" w:eastAsia="Times New Roman" w:hAnsi="Times New Roman" w:cs="Times New Roman"/>
          <w:b/>
          <w:bCs/>
          <w:i/>
          <w:iCs/>
          <w:color w:val="232323"/>
          <w:sz w:val="24"/>
          <w:szCs w:val="24"/>
          <w:lang w:val="ro-RO" w:eastAsia="ru-RU"/>
        </w:rPr>
        <w:t>Notă:</w:t>
      </w:r>
    </w:p>
    <w:p w:rsidR="0039479B" w:rsidRPr="0039479B" w:rsidRDefault="0039479B" w:rsidP="0039479B">
      <w:pPr>
        <w:spacing w:after="0" w:line="240" w:lineRule="auto"/>
        <w:rPr>
          <w:rFonts w:ascii="Times New Roman" w:eastAsia="Times New Roman" w:hAnsi="Times New Roman" w:cs="Times New Roman"/>
          <w:color w:val="232323"/>
          <w:sz w:val="24"/>
          <w:szCs w:val="24"/>
          <w:lang w:val="ro-RO" w:eastAsia="ru-RU"/>
        </w:rPr>
      </w:pPr>
      <w:r w:rsidRPr="0039479B">
        <w:rPr>
          <w:rFonts w:ascii="Times New Roman" w:eastAsia="Times New Roman" w:hAnsi="Times New Roman" w:cs="Times New Roman"/>
          <w:color w:val="232323"/>
          <w:sz w:val="24"/>
          <w:szCs w:val="24"/>
          <w:lang w:val="ro-RO" w:eastAsia="ru-RU"/>
        </w:rPr>
        <w:t>* Acestea includ icter la debut și transaminaze semnificativ crescute.</w:t>
      </w:r>
      <w:r w:rsidRPr="0039479B">
        <w:rPr>
          <w:rFonts w:ascii="Times New Roman" w:eastAsia="Times New Roman" w:hAnsi="Times New Roman" w:cs="Times New Roman"/>
          <w:color w:val="232323"/>
          <w:sz w:val="24"/>
          <w:szCs w:val="24"/>
          <w:lang w:val="ro-RO" w:eastAsia="ru-RU"/>
        </w:rPr>
        <w:br/>
        <w:t xml:space="preserve">¶ </w:t>
      </w:r>
      <w:r w:rsidRPr="0039479B">
        <w:rPr>
          <w:rFonts w:ascii="Times New Roman" w:eastAsia="Times New Roman" w:hAnsi="Times New Roman" w:cs="Times New Roman"/>
          <w:color w:val="232323"/>
          <w:sz w:val="24"/>
          <w:szCs w:val="24"/>
          <w:vertAlign w:val="superscript"/>
          <w:lang w:val="ro-RO" w:eastAsia="ru-RU"/>
        </w:rPr>
        <w:t>Δ</w:t>
      </w:r>
      <w:r w:rsidRPr="0039479B">
        <w:rPr>
          <w:rFonts w:ascii="Times New Roman" w:eastAsia="Times New Roman" w:hAnsi="Times New Roman" w:cs="Times New Roman"/>
          <w:color w:val="232323"/>
          <w:sz w:val="24"/>
          <w:szCs w:val="24"/>
          <w:lang w:val="ro-RO" w:eastAsia="ru-RU"/>
        </w:rPr>
        <w:t xml:space="preserve"> Pentru pacienții aflați în hemodializă sau cu o afecțiune imunocompromisă gravă (de exemplu, HIV avansat, transplant de organe, etc.), ARN-ul VHC poate fi verificat în același timp cu testarea anticorpilor VHC din cauza anticorpilor fals negativ. În astfel de cazuri, un ARN-HCV pozitiv confirmă diagnosticul de infecție cu VHC, în timp ce un ARN-HCV negativ îl respinge.</w:t>
      </w:r>
    </w:p>
    <w:p w:rsidR="0039479B" w:rsidRPr="0039479B" w:rsidRDefault="0039479B"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35" w:name="_Toc177994789"/>
      <w:r w:rsidRPr="0039479B">
        <w:rPr>
          <w:rFonts w:ascii="Times New Roman" w:eastAsia="Times New Roman" w:hAnsi="Times New Roman" w:cs="Times New Roman"/>
          <w:b/>
          <w:spacing w:val="15"/>
          <w:sz w:val="24"/>
          <w:szCs w:val="24"/>
          <w:lang w:val="ro-RO" w:eastAsia="x-none"/>
        </w:rPr>
        <w:t>C.1.2. Algoritm de diagnostic pentru identificarea infecției curente cu VHC</w:t>
      </w:r>
      <w:bookmarkEnd w:id="35"/>
    </w:p>
    <w:p w:rsidR="0039479B" w:rsidRPr="0039479B" w:rsidRDefault="0039479B" w:rsidP="0039479B">
      <w:pPr>
        <w:spacing w:after="0" w:line="240" w:lineRule="auto"/>
        <w:jc w:val="both"/>
        <w:rPr>
          <w:rFonts w:ascii="Times New Roman" w:eastAsia="Times New Roman" w:hAnsi="Times New Roman" w:cs="Times New Roman"/>
          <w:sz w:val="24"/>
          <w:szCs w:val="24"/>
          <w:lang w:val="ro-RO" w:eastAsia="ru-RU"/>
        </w:rPr>
      </w:pPr>
    </w:p>
    <w:p w:rsidR="0039479B" w:rsidRPr="0039479B" w:rsidRDefault="0039479B" w:rsidP="0039479B">
      <w:pPr>
        <w:spacing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noProof/>
          <w:sz w:val="24"/>
          <w:szCs w:val="24"/>
          <w:lang w:eastAsia="ru-RU"/>
        </w:rPr>
        <w:drawing>
          <wp:inline distT="0" distB="0" distL="0" distR="0">
            <wp:extent cx="6448425" cy="4244340"/>
            <wp:effectExtent l="0" t="0" r="0" b="4191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9479B" w:rsidRPr="0039479B" w:rsidRDefault="0039479B" w:rsidP="0039479B">
      <w:pPr>
        <w:spacing w:after="0" w:line="240" w:lineRule="auto"/>
        <w:jc w:val="both"/>
        <w:rPr>
          <w:rFonts w:ascii="Times New Roman" w:eastAsia="Times New Roman" w:hAnsi="Times New Roman" w:cs="Times New Roman"/>
          <w:sz w:val="24"/>
          <w:szCs w:val="24"/>
          <w:lang w:val="ro-RO" w:eastAsia="ru-RU"/>
        </w:rPr>
      </w:pPr>
    </w:p>
    <w:p w:rsidR="0039479B" w:rsidRDefault="0039479B" w:rsidP="0039479B">
      <w:pPr>
        <w:spacing w:after="0" w:line="240" w:lineRule="auto"/>
        <w:jc w:val="both"/>
        <w:rPr>
          <w:rFonts w:ascii="Times New Roman" w:eastAsia="Times New Roman" w:hAnsi="Times New Roman" w:cs="Times New Roman"/>
          <w:sz w:val="24"/>
          <w:szCs w:val="24"/>
          <w:lang w:val="ro-RO" w:eastAsia="ru-RU"/>
        </w:rPr>
      </w:pPr>
      <w:r w:rsidRPr="0039479B">
        <w:rPr>
          <w:rFonts w:ascii="Times New Roman" w:eastAsia="Times New Roman" w:hAnsi="Times New Roman" w:cs="Times New Roman"/>
          <w:sz w:val="24"/>
          <w:szCs w:val="24"/>
          <w:lang w:val="ro-RO" w:eastAsia="ru-RU"/>
        </w:rPr>
        <w:tab/>
      </w:r>
      <w:r w:rsidRPr="0039479B">
        <w:rPr>
          <w:rFonts w:ascii="Times New Roman" w:eastAsia="Times New Roman" w:hAnsi="Times New Roman" w:cs="Times New Roman"/>
          <w:b/>
          <w:bCs/>
          <w:i/>
          <w:iCs/>
          <w:sz w:val="24"/>
          <w:szCs w:val="24"/>
          <w:lang w:val="ro-RO" w:eastAsia="ru-RU"/>
        </w:rPr>
        <w:t>Abrevieri:</w:t>
      </w:r>
      <w:r w:rsidRPr="0039479B">
        <w:rPr>
          <w:rFonts w:ascii="Times New Roman" w:eastAsia="Times New Roman" w:hAnsi="Times New Roman" w:cs="Times New Roman"/>
          <w:sz w:val="24"/>
          <w:szCs w:val="24"/>
          <w:lang w:val="ro-RO" w:eastAsia="ru-RU"/>
        </w:rPr>
        <w:t xml:space="preserve"> VHC - virusul hepatitei C; ARN - acid ribonucleic.</w:t>
      </w:r>
    </w:p>
    <w:p w:rsidR="001D0D55" w:rsidRDefault="001D0D55"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sz w:val="24"/>
          <w:szCs w:val="24"/>
          <w:lang w:val="ro-RO" w:eastAsia="ru-RU"/>
        </w:rPr>
      </w:pPr>
      <w:bookmarkStart w:id="36" w:name="_Toc177994791"/>
    </w:p>
    <w:p w:rsidR="001D0D55" w:rsidRDefault="001D0D55"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sz w:val="24"/>
          <w:szCs w:val="24"/>
          <w:lang w:val="ro-RO" w:eastAsia="ru-RU"/>
        </w:rPr>
      </w:pPr>
    </w:p>
    <w:p w:rsidR="001D0D55" w:rsidRDefault="001D0D55"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sz w:val="24"/>
          <w:szCs w:val="24"/>
          <w:lang w:val="ro-RO" w:eastAsia="ru-RU"/>
        </w:rPr>
      </w:pPr>
    </w:p>
    <w:p w:rsidR="001D0D55" w:rsidRDefault="001D0D55"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sz w:val="24"/>
          <w:szCs w:val="24"/>
          <w:lang w:val="ro-RO" w:eastAsia="ru-RU"/>
        </w:rPr>
      </w:pPr>
    </w:p>
    <w:p w:rsidR="001D0D55" w:rsidRDefault="001D0D55"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sz w:val="24"/>
          <w:szCs w:val="24"/>
          <w:lang w:val="ro-RO" w:eastAsia="ru-RU"/>
        </w:rPr>
      </w:pPr>
    </w:p>
    <w:p w:rsidR="001D0D55" w:rsidRDefault="001D0D55"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sz w:val="24"/>
          <w:szCs w:val="24"/>
          <w:lang w:val="ro-RO" w:eastAsia="ru-RU"/>
        </w:rPr>
      </w:pPr>
    </w:p>
    <w:p w:rsidR="001D0D55" w:rsidRDefault="001D0D55"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sz w:val="24"/>
          <w:szCs w:val="24"/>
          <w:lang w:val="ro-RO" w:eastAsia="ru-RU"/>
        </w:rPr>
      </w:pPr>
    </w:p>
    <w:p w:rsidR="001D0D55" w:rsidRDefault="001D0D55"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sz w:val="24"/>
          <w:szCs w:val="24"/>
          <w:lang w:val="ro-RO" w:eastAsia="ru-RU"/>
        </w:rPr>
      </w:pPr>
    </w:p>
    <w:p w:rsidR="0039479B" w:rsidRPr="0039479B" w:rsidRDefault="0039479B" w:rsidP="0039479B">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shd w:val="clear" w:color="auto" w:fill="FFFFFF"/>
          <w:lang w:val="ro-RO" w:eastAsia="x-none"/>
        </w:rPr>
      </w:pPr>
      <w:r w:rsidRPr="0039479B">
        <w:rPr>
          <w:rFonts w:ascii="Times New Roman" w:eastAsia="Times New Roman" w:hAnsi="Times New Roman" w:cs="Times New Roman"/>
          <w:b/>
          <w:spacing w:val="15"/>
          <w:sz w:val="24"/>
          <w:szCs w:val="24"/>
          <w:shd w:val="clear" w:color="auto" w:fill="FFFFFF"/>
          <w:lang w:val="ro-RO" w:eastAsia="x-none"/>
        </w:rPr>
        <w:t>C.1.</w:t>
      </w:r>
      <w:r w:rsidR="004818B0">
        <w:rPr>
          <w:rFonts w:ascii="Times New Roman" w:eastAsia="Times New Roman" w:hAnsi="Times New Roman" w:cs="Times New Roman"/>
          <w:b/>
          <w:spacing w:val="15"/>
          <w:sz w:val="24"/>
          <w:szCs w:val="24"/>
          <w:shd w:val="clear" w:color="auto" w:fill="FFFFFF"/>
          <w:lang w:val="ro-RO" w:eastAsia="x-none"/>
        </w:rPr>
        <w:t>3</w:t>
      </w:r>
      <w:r w:rsidRPr="0039479B">
        <w:rPr>
          <w:rFonts w:ascii="Times New Roman" w:eastAsia="Times New Roman" w:hAnsi="Times New Roman" w:cs="Times New Roman"/>
          <w:b/>
          <w:spacing w:val="15"/>
          <w:sz w:val="24"/>
          <w:szCs w:val="24"/>
          <w:shd w:val="clear" w:color="auto" w:fill="FFFFFF"/>
          <w:lang w:val="ro-RO" w:eastAsia="x-none"/>
        </w:rPr>
        <w:t>. Algoritm de selectare a regimului pentru terapia inițială a infecției cronice cu VHC</w:t>
      </w:r>
      <w:bookmarkEnd w:id="36"/>
    </w:p>
    <w:p w:rsidR="0039479B" w:rsidRDefault="0039479B" w:rsidP="0039479B">
      <w:pPr>
        <w:spacing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noProof/>
          <w:sz w:val="24"/>
          <w:szCs w:val="24"/>
          <w:lang w:eastAsia="ru-RU"/>
        </w:rPr>
        <w:drawing>
          <wp:inline distT="0" distB="0" distL="0" distR="0">
            <wp:extent cx="5905500" cy="516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5162550"/>
                    </a:xfrm>
                    <a:prstGeom prst="rect">
                      <a:avLst/>
                    </a:prstGeom>
                    <a:noFill/>
                    <a:ln>
                      <a:noFill/>
                    </a:ln>
                  </pic:spPr>
                </pic:pic>
              </a:graphicData>
            </a:graphic>
          </wp:inline>
        </w:drawing>
      </w:r>
    </w:p>
    <w:p w:rsidR="00375B81" w:rsidRPr="0039479B" w:rsidRDefault="00375B81" w:rsidP="0039479B">
      <w:pPr>
        <w:spacing w:after="0" w:line="240" w:lineRule="auto"/>
        <w:jc w:val="both"/>
        <w:rPr>
          <w:rFonts w:ascii="Times New Roman" w:eastAsia="Times New Roman" w:hAnsi="Times New Roman" w:cs="Times New Roman"/>
          <w:sz w:val="24"/>
          <w:szCs w:val="24"/>
          <w:lang w:val="ro-RO" w:eastAsia="ru-RU"/>
        </w:rPr>
      </w:pPr>
    </w:p>
    <w:p w:rsidR="0039479B" w:rsidRPr="0039479B" w:rsidRDefault="0039479B" w:rsidP="0039479B">
      <w:pPr>
        <w:shd w:val="clear" w:color="auto" w:fill="FFFFFF"/>
        <w:spacing w:after="0" w:line="240" w:lineRule="auto"/>
        <w:jc w:val="both"/>
        <w:rPr>
          <w:rFonts w:ascii="Times New Roman" w:eastAsia="Times New Roman" w:hAnsi="Times New Roman" w:cs="Times New Roman"/>
          <w:color w:val="232323"/>
          <w:sz w:val="24"/>
          <w:szCs w:val="24"/>
          <w:lang w:val="ro-RO"/>
        </w:rPr>
      </w:pPr>
      <w:r w:rsidRPr="0039479B">
        <w:rPr>
          <w:rFonts w:ascii="Times New Roman" w:eastAsia="Times New Roman" w:hAnsi="Times New Roman" w:cs="Times New Roman"/>
          <w:b/>
          <w:bCs/>
          <w:i/>
          <w:iCs/>
          <w:color w:val="232323"/>
          <w:sz w:val="24"/>
          <w:szCs w:val="24"/>
          <w:lang w:val="ro-RO"/>
        </w:rPr>
        <w:t>Abrevieri:</w:t>
      </w:r>
      <w:r w:rsidRPr="0039479B">
        <w:rPr>
          <w:rFonts w:ascii="Times New Roman" w:eastAsia="Times New Roman" w:hAnsi="Times New Roman" w:cs="Times New Roman"/>
          <w:color w:val="232323"/>
          <w:sz w:val="24"/>
          <w:szCs w:val="24"/>
          <w:lang w:val="ro-RO"/>
        </w:rPr>
        <w:t xml:space="preserve"> SVR: răspuns virusologic susținut.</w:t>
      </w:r>
    </w:p>
    <w:p w:rsidR="0039479B" w:rsidRPr="0039479B" w:rsidRDefault="0039479B" w:rsidP="0039479B">
      <w:pPr>
        <w:shd w:val="clear" w:color="auto" w:fill="FFFFFF"/>
        <w:spacing w:after="0" w:line="240" w:lineRule="auto"/>
        <w:jc w:val="both"/>
        <w:rPr>
          <w:rFonts w:ascii="Times New Roman" w:eastAsia="Times New Roman" w:hAnsi="Times New Roman" w:cs="Times New Roman"/>
          <w:b/>
          <w:bCs/>
          <w:i/>
          <w:iCs/>
          <w:color w:val="232323"/>
          <w:sz w:val="24"/>
          <w:szCs w:val="24"/>
          <w:lang w:val="ro-RO"/>
        </w:rPr>
      </w:pPr>
      <w:r w:rsidRPr="0039479B">
        <w:rPr>
          <w:rFonts w:ascii="Times New Roman" w:eastAsia="Times New Roman" w:hAnsi="Times New Roman" w:cs="Times New Roman"/>
          <w:b/>
          <w:bCs/>
          <w:i/>
          <w:iCs/>
          <w:color w:val="232323"/>
          <w:sz w:val="24"/>
          <w:szCs w:val="24"/>
          <w:lang w:val="ro-RO"/>
        </w:rPr>
        <w:t xml:space="preserve">Notă: </w:t>
      </w:r>
    </w:p>
    <w:p w:rsidR="0039479B" w:rsidRPr="0039479B" w:rsidRDefault="0039479B" w:rsidP="0039479B">
      <w:pPr>
        <w:shd w:val="clear" w:color="auto" w:fill="FFFFFF"/>
        <w:spacing w:after="0" w:line="240" w:lineRule="auto"/>
        <w:jc w:val="both"/>
        <w:rPr>
          <w:rFonts w:ascii="Times New Roman" w:eastAsia="Times New Roman" w:hAnsi="Times New Roman" w:cs="Times New Roman"/>
          <w:color w:val="232323"/>
          <w:sz w:val="24"/>
          <w:szCs w:val="24"/>
          <w:lang w:val="ro-RO"/>
        </w:rPr>
      </w:pPr>
      <w:r w:rsidRPr="0039479B">
        <w:rPr>
          <w:rFonts w:ascii="Times New Roman" w:eastAsia="Times New Roman" w:hAnsi="Times New Roman" w:cs="Times New Roman"/>
          <w:color w:val="232323"/>
          <w:sz w:val="24"/>
          <w:szCs w:val="24"/>
          <w:lang w:val="ro-RO"/>
        </w:rPr>
        <w:t xml:space="preserve">* Pentru inițierea terapiei cu regimuri terapeutice pangenotipice nu este necesar de efectuat genotipul VHC și stadiul fibrozei </w:t>
      </w:r>
    </w:p>
    <w:p w:rsidR="0039479B" w:rsidRPr="0039479B" w:rsidRDefault="00375B81" w:rsidP="0039479B">
      <w:pPr>
        <w:shd w:val="clear" w:color="auto" w:fill="FFFFFF"/>
        <w:spacing w:after="0" w:line="240" w:lineRule="auto"/>
        <w:jc w:val="both"/>
        <w:rPr>
          <w:rFonts w:ascii="Times New Roman" w:eastAsia="Times New Roman" w:hAnsi="Times New Roman" w:cs="Times New Roman"/>
          <w:color w:val="232323"/>
          <w:sz w:val="24"/>
          <w:szCs w:val="24"/>
          <w:lang w:val="ro-RO"/>
        </w:rPr>
      </w:pPr>
      <w:r>
        <w:rPr>
          <w:rFonts w:ascii="Times New Roman" w:eastAsia="Times New Roman" w:hAnsi="Times New Roman" w:cs="Times New Roman"/>
          <w:color w:val="232323"/>
          <w:sz w:val="24"/>
          <w:szCs w:val="24"/>
          <w:lang w:val="ro-RO"/>
        </w:rPr>
        <w:t xml:space="preserve">* </w:t>
      </w:r>
      <w:r w:rsidR="0039479B" w:rsidRPr="0039479B">
        <w:rPr>
          <w:rFonts w:ascii="Times New Roman" w:eastAsia="Times New Roman" w:hAnsi="Times New Roman" w:cs="Times New Roman"/>
          <w:color w:val="232323"/>
          <w:sz w:val="24"/>
          <w:szCs w:val="24"/>
          <w:lang w:val="ro-RO"/>
        </w:rPr>
        <w:t xml:space="preserve">La pacienții cu genotip 3 și ciroză, testarea substituției asociate rezistenței Y93H NS5A este utilizată pentru a ghida regimul optim pe bază de sofosbuvirum+velpatasvirum*. Deoarece această testare nu este întotdeauna disponibilă, favorizăm glecaprevirum*+pibrentasvirum pentru astfel de pacienți. </w:t>
      </w:r>
    </w:p>
    <w:p w:rsidR="0039479B" w:rsidRPr="0039479B" w:rsidRDefault="00375B81" w:rsidP="0039479B">
      <w:pPr>
        <w:spacing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color w:val="232323"/>
          <w:sz w:val="24"/>
          <w:szCs w:val="24"/>
          <w:shd w:val="clear" w:color="auto" w:fill="FFFFFF"/>
          <w:vertAlign w:val="superscript"/>
          <w:lang w:val="ro-RO"/>
        </w:rPr>
        <w:t xml:space="preserve">* </w:t>
      </w:r>
      <w:r w:rsidR="0039479B" w:rsidRPr="0039479B">
        <w:rPr>
          <w:rFonts w:ascii="Times New Roman" w:eastAsia="Times New Roman" w:hAnsi="Times New Roman" w:cs="Times New Roman"/>
          <w:color w:val="232323"/>
          <w:sz w:val="24"/>
          <w:szCs w:val="24"/>
          <w:shd w:val="clear" w:color="auto" w:fill="FFFFFF"/>
          <w:lang w:val="ro-RO"/>
        </w:rPr>
        <w:t>Selectarea dintre sofosbuvirum + velpatasvirum* și glecaprevirum + pribrentasvirum* este adesea dictată de acces. Dacă ambele sunt accesibile, alegerea dintre ele depinde de potențialul de interacțiune medicamentoasă.</w:t>
      </w:r>
    </w:p>
    <w:p w:rsidR="0039479B" w:rsidRPr="0039479B" w:rsidRDefault="0039479B" w:rsidP="0039479B">
      <w:pPr>
        <w:rPr>
          <w:rFonts w:ascii="Times New Roman" w:hAnsi="Times New Roman" w:cs="Times New Roman"/>
          <w:sz w:val="24"/>
          <w:szCs w:val="24"/>
          <w:lang w:val="ro-RO"/>
        </w:rPr>
      </w:pPr>
      <w:r w:rsidRPr="0039479B">
        <w:rPr>
          <w:rFonts w:ascii="Times New Roman" w:eastAsia="Times New Roman" w:hAnsi="Times New Roman" w:cs="Times New Roman"/>
          <w:sz w:val="24"/>
          <w:szCs w:val="20"/>
          <w:lang w:val="ro-RO" w:eastAsia="ru-RU"/>
        </w:rPr>
        <w:br w:type="page"/>
      </w:r>
    </w:p>
    <w:p w:rsidR="004818B0" w:rsidRPr="004818B0" w:rsidRDefault="004818B0" w:rsidP="004818B0">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bookmarkStart w:id="37" w:name="_Toc177994792"/>
      <w:r w:rsidRPr="004818B0">
        <w:rPr>
          <w:rFonts w:ascii="Times New Roman" w:eastAsia="Times New Roman" w:hAnsi="Times New Roman" w:cs="Times New Roman"/>
          <w:b/>
          <w:caps/>
          <w:spacing w:val="15"/>
          <w:sz w:val="24"/>
          <w:lang w:val="ro-RO" w:eastAsia="x-none"/>
        </w:rPr>
        <w:lastRenderedPageBreak/>
        <w:t>C.2. DESCRIEREA METODELOR, TEHNICILOR ŞI PROCEDURILOR</w:t>
      </w:r>
      <w:bookmarkEnd w:id="37"/>
      <w:r w:rsidRPr="004818B0">
        <w:rPr>
          <w:rFonts w:ascii="Times New Roman" w:eastAsia="Times New Roman" w:hAnsi="Times New Roman" w:cs="Times New Roman"/>
          <w:b/>
          <w:caps/>
          <w:spacing w:val="15"/>
          <w:sz w:val="24"/>
          <w:lang w:val="ro-RO" w:eastAsia="x-none"/>
        </w:rPr>
        <w:t xml:space="preserve"> </w:t>
      </w:r>
    </w:p>
    <w:p w:rsidR="004818B0" w:rsidRPr="004818B0" w:rsidRDefault="004818B0" w:rsidP="004818B0">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38" w:name="_Toc205889000"/>
      <w:bookmarkStart w:id="39" w:name="_Toc331523442"/>
      <w:bookmarkStart w:id="40" w:name="_Toc331526255"/>
      <w:bookmarkStart w:id="41" w:name="_Toc331526422"/>
      <w:bookmarkStart w:id="42" w:name="_Toc177994793"/>
      <w:r w:rsidRPr="004818B0">
        <w:rPr>
          <w:rFonts w:ascii="Times New Roman" w:eastAsia="Times New Roman" w:hAnsi="Times New Roman" w:cs="Times New Roman"/>
          <w:b/>
          <w:spacing w:val="15"/>
          <w:sz w:val="24"/>
          <w:szCs w:val="24"/>
          <w:lang w:val="ro-RO" w:eastAsia="x-none"/>
        </w:rPr>
        <w:t>C.2.1. Clasificarea hepatitei virale C cronice</w:t>
      </w:r>
      <w:bookmarkEnd w:id="38"/>
      <w:bookmarkEnd w:id="39"/>
      <w:bookmarkEnd w:id="40"/>
      <w:bookmarkEnd w:id="41"/>
      <w:bookmarkEnd w:id="42"/>
    </w:p>
    <w:p w:rsidR="004818B0" w:rsidRPr="004818B0" w:rsidRDefault="004818B0" w:rsidP="004818B0">
      <w:pPr>
        <w:shd w:val="clear" w:color="auto" w:fill="FFFFFF"/>
        <w:spacing w:after="0" w:line="240" w:lineRule="auto"/>
        <w:jc w:val="both"/>
        <w:rPr>
          <w:rFonts w:ascii="Times New Roman" w:eastAsia="Times New Roman" w:hAnsi="Times New Roman" w:cs="Times New Roman"/>
          <w:b/>
          <w:bCs/>
          <w:sz w:val="24"/>
          <w:szCs w:val="24"/>
          <w:lang w:val="ro-RO" w:eastAsia="ru-RU"/>
        </w:rPr>
      </w:pPr>
      <w:r w:rsidRPr="004818B0">
        <w:rPr>
          <w:rFonts w:ascii="Times New Roman" w:eastAsia="Times New Roman" w:hAnsi="Times New Roman" w:cs="Times New Roman"/>
          <w:b/>
          <w:sz w:val="24"/>
          <w:szCs w:val="24"/>
          <w:lang w:val="ro-RO" w:eastAsia="ru-RU"/>
        </w:rPr>
        <w:t xml:space="preserve">Tabelul 1. </w:t>
      </w:r>
      <w:bookmarkStart w:id="43" w:name="_Hlk149822425"/>
      <w:r w:rsidRPr="004818B0">
        <w:rPr>
          <w:rFonts w:ascii="Times New Roman" w:eastAsia="Times New Roman" w:hAnsi="Times New Roman" w:cs="Times New Roman"/>
          <w:b/>
          <w:bCs/>
          <w:sz w:val="24"/>
          <w:szCs w:val="24"/>
          <w:lang w:val="ro-RO" w:eastAsia="ru-RU"/>
        </w:rPr>
        <w:t>Histologia hepatică în infecția cu virusul hepatitei C [6, 40]</w:t>
      </w:r>
    </w:p>
    <w:p w:rsidR="004818B0" w:rsidRPr="004818B0" w:rsidRDefault="004818B0" w:rsidP="004818B0">
      <w:pPr>
        <w:spacing w:after="0" w:line="240" w:lineRule="auto"/>
        <w:ind w:right="-590"/>
        <w:jc w:val="both"/>
        <w:rPr>
          <w:rFonts w:ascii="Times New Roman" w:eastAsia="Times New Roman" w:hAnsi="Times New Roman" w:cs="Times New Roman"/>
          <w:i/>
          <w:iCs/>
          <w:sz w:val="24"/>
          <w:szCs w:val="24"/>
          <w:lang w:val="ro-RO"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7040"/>
      </w:tblGrid>
      <w:tr w:rsidR="004818B0" w:rsidRPr="00D645AA" w:rsidTr="00FF5E27">
        <w:tc>
          <w:tcPr>
            <w:tcW w:w="5000" w:type="pct"/>
            <w:gridSpan w:val="2"/>
            <w:shd w:val="clear" w:color="auto" w:fill="auto"/>
          </w:tcPr>
          <w:bookmarkEnd w:id="43"/>
          <w:p w:rsidR="004818B0" w:rsidRPr="004818B0" w:rsidRDefault="004818B0" w:rsidP="004818B0">
            <w:pPr>
              <w:spacing w:after="0" w:line="240" w:lineRule="auto"/>
              <w:jc w:val="both"/>
              <w:rPr>
                <w:rFonts w:ascii="Times New Roman" w:eastAsia="Times New Roman" w:hAnsi="Times New Roman" w:cs="Times New Roman"/>
                <w:b/>
                <w:bCs/>
                <w:color w:val="232323"/>
                <w:sz w:val="24"/>
                <w:szCs w:val="24"/>
                <w:lang w:val="ro-RO" w:eastAsia="ru-RU"/>
              </w:rPr>
            </w:pPr>
            <w:r w:rsidRPr="004818B0">
              <w:rPr>
                <w:rFonts w:ascii="Times New Roman" w:eastAsia="Times New Roman" w:hAnsi="Times New Roman" w:cs="Times New Roman"/>
                <w:b/>
                <w:bCs/>
                <w:sz w:val="24"/>
                <w:szCs w:val="24"/>
                <w:lang w:val="ro-RO" w:eastAsia="ru-RU"/>
              </w:rPr>
              <w:t>Caracteristicile histologice ale hepatitei acute C</w:t>
            </w:r>
          </w:p>
        </w:tc>
      </w:tr>
      <w:tr w:rsidR="004818B0" w:rsidRPr="004818B0" w:rsidTr="00FF5E27">
        <w:trPr>
          <w:trHeight w:val="313"/>
        </w:trPr>
        <w:tc>
          <w:tcPr>
            <w:tcW w:w="1210" w:type="pct"/>
            <w:shd w:val="clear" w:color="auto" w:fill="auto"/>
          </w:tcPr>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Leziuni colestatice</w:t>
            </w:r>
          </w:p>
        </w:tc>
        <w:tc>
          <w:tcPr>
            <w:tcW w:w="3790" w:type="pct"/>
            <w:shd w:val="clear" w:color="auto" w:fill="auto"/>
          </w:tcPr>
          <w:p w:rsidR="004818B0" w:rsidRPr="004818B0" w:rsidRDefault="004818B0" w:rsidP="00461D8F">
            <w:pPr>
              <w:numPr>
                <w:ilvl w:val="0"/>
                <w:numId w:val="40"/>
              </w:numPr>
              <w:spacing w:before="100" w:after="0" w:line="240" w:lineRule="auto"/>
              <w:ind w:left="357" w:hanging="357"/>
              <w:contextualSpacing/>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 xml:space="preserve">Leziuni ale căilor biliare (leziune </w:t>
            </w:r>
            <w:r w:rsidRPr="004818B0">
              <w:rPr>
                <w:rFonts w:ascii="Times New Roman" w:eastAsia="Times New Roman" w:hAnsi="Times New Roman" w:cs="Times New Roman"/>
                <w:i/>
                <w:iCs/>
                <w:sz w:val="24"/>
                <w:szCs w:val="24"/>
                <w:lang w:val="ro-RO" w:eastAsia="ru-RU"/>
              </w:rPr>
              <w:t>Poulsen Christofferson</w:t>
            </w:r>
            <w:r w:rsidRPr="004818B0">
              <w:rPr>
                <w:rFonts w:ascii="Times New Roman" w:eastAsia="Times New Roman" w:hAnsi="Times New Roman" w:cs="Times New Roman"/>
                <w:sz w:val="24"/>
                <w:szCs w:val="24"/>
                <w:lang w:val="ro-RO" w:eastAsia="ru-RU"/>
              </w:rPr>
              <w:t>)</w:t>
            </w:r>
          </w:p>
          <w:p w:rsidR="004818B0" w:rsidRPr="004818B0" w:rsidRDefault="004818B0" w:rsidP="00461D8F">
            <w:pPr>
              <w:numPr>
                <w:ilvl w:val="0"/>
                <w:numId w:val="40"/>
              </w:numPr>
              <w:spacing w:before="100" w:after="0" w:line="240" w:lineRule="auto"/>
              <w:ind w:left="357" w:hanging="357"/>
              <w:contextualSpacing/>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Proliferarea colangiolară (ușoară)</w:t>
            </w:r>
          </w:p>
        </w:tc>
      </w:tr>
      <w:tr w:rsidR="004818B0" w:rsidRPr="004818B0" w:rsidTr="00FF5E27">
        <w:tc>
          <w:tcPr>
            <w:tcW w:w="1210" w:type="pct"/>
            <w:shd w:val="clear" w:color="auto" w:fill="auto"/>
          </w:tcPr>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Leziuni hepatocitare</w:t>
            </w:r>
          </w:p>
        </w:tc>
        <w:tc>
          <w:tcPr>
            <w:tcW w:w="3790" w:type="pct"/>
            <w:shd w:val="clear" w:color="auto" w:fill="auto"/>
          </w:tcPr>
          <w:p w:rsidR="004818B0" w:rsidRPr="004818B0" w:rsidRDefault="004818B0" w:rsidP="00461D8F">
            <w:pPr>
              <w:numPr>
                <w:ilvl w:val="0"/>
                <w:numId w:val="41"/>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Necroinflamația lobulară cu dezordine</w:t>
            </w:r>
          </w:p>
          <w:p w:rsidR="004818B0" w:rsidRPr="004818B0" w:rsidRDefault="004818B0" w:rsidP="00461D8F">
            <w:pPr>
              <w:numPr>
                <w:ilvl w:val="0"/>
                <w:numId w:val="41"/>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Steatoza</w:t>
            </w:r>
          </w:p>
          <w:p w:rsidR="004818B0" w:rsidRPr="004818B0" w:rsidRDefault="004818B0" w:rsidP="00461D8F">
            <w:pPr>
              <w:numPr>
                <w:ilvl w:val="0"/>
                <w:numId w:val="41"/>
              </w:numPr>
              <w:spacing w:before="100" w:after="0" w:line="240" w:lineRule="auto"/>
              <w:ind w:left="357" w:hanging="357"/>
              <w:contextualSpacing/>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Inflamație sinusoidală</w:t>
            </w:r>
          </w:p>
        </w:tc>
      </w:tr>
      <w:tr w:rsidR="004818B0" w:rsidRPr="00D645AA" w:rsidTr="00FF5E27">
        <w:tc>
          <w:tcPr>
            <w:tcW w:w="5000" w:type="pct"/>
            <w:gridSpan w:val="2"/>
            <w:shd w:val="clear" w:color="auto" w:fill="auto"/>
          </w:tcPr>
          <w:p w:rsidR="004818B0" w:rsidRPr="004818B0" w:rsidRDefault="004818B0" w:rsidP="004818B0">
            <w:pPr>
              <w:spacing w:after="0" w:line="240" w:lineRule="auto"/>
              <w:jc w:val="both"/>
              <w:rPr>
                <w:rFonts w:ascii="Times New Roman" w:eastAsia="Times New Roman" w:hAnsi="Times New Roman" w:cs="Times New Roman"/>
                <w:b/>
                <w:bCs/>
                <w:color w:val="232323"/>
                <w:sz w:val="24"/>
                <w:szCs w:val="24"/>
                <w:lang w:val="ro-RO" w:eastAsia="ru-RU"/>
              </w:rPr>
            </w:pPr>
            <w:r w:rsidRPr="004818B0">
              <w:rPr>
                <w:rFonts w:ascii="Times New Roman" w:eastAsia="Times New Roman" w:hAnsi="Times New Roman" w:cs="Times New Roman"/>
                <w:b/>
                <w:bCs/>
                <w:sz w:val="24"/>
                <w:szCs w:val="24"/>
                <w:lang w:val="ro-RO" w:eastAsia="ru-RU"/>
              </w:rPr>
              <w:t>Caracteristicile histologice ale hepatitei virale C cronice</w:t>
            </w:r>
          </w:p>
        </w:tc>
      </w:tr>
      <w:tr w:rsidR="004818B0" w:rsidRPr="004818B0" w:rsidTr="00FF5E27">
        <w:tc>
          <w:tcPr>
            <w:tcW w:w="1210" w:type="pct"/>
            <w:shd w:val="clear" w:color="auto" w:fill="auto"/>
          </w:tcPr>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Modificări ale tractului portal</w:t>
            </w:r>
          </w:p>
        </w:tc>
        <w:tc>
          <w:tcPr>
            <w:tcW w:w="3790" w:type="pct"/>
            <w:shd w:val="clear" w:color="auto" w:fill="auto"/>
          </w:tcPr>
          <w:p w:rsidR="004818B0" w:rsidRPr="004818B0" w:rsidRDefault="004818B0" w:rsidP="00461D8F">
            <w:pPr>
              <w:numPr>
                <w:ilvl w:val="0"/>
                <w:numId w:val="42"/>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Agregate limfoide portale/foliculi limfoizi reactivi în tracturile portale*</w:t>
            </w:r>
          </w:p>
          <w:p w:rsidR="004818B0" w:rsidRPr="004818B0" w:rsidRDefault="004818B0" w:rsidP="00461D8F">
            <w:pPr>
              <w:numPr>
                <w:ilvl w:val="0"/>
                <w:numId w:val="42"/>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Hepatita de interfață</w:t>
            </w:r>
          </w:p>
          <w:p w:rsidR="004818B0" w:rsidRPr="004818B0" w:rsidRDefault="004818B0" w:rsidP="00461D8F">
            <w:pPr>
              <w:numPr>
                <w:ilvl w:val="0"/>
                <w:numId w:val="43"/>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Deteriorarea căilor biliare interlobulare</w:t>
            </w:r>
          </w:p>
          <w:p w:rsidR="004818B0" w:rsidRPr="004818B0" w:rsidRDefault="004818B0" w:rsidP="00461D8F">
            <w:pPr>
              <w:numPr>
                <w:ilvl w:val="0"/>
                <w:numId w:val="43"/>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Grupuri izolate de hepatocite în tractul portal</w:t>
            </w:r>
          </w:p>
          <w:p w:rsidR="004818B0" w:rsidRPr="004818B0" w:rsidRDefault="004818B0" w:rsidP="00461D8F">
            <w:pPr>
              <w:numPr>
                <w:ilvl w:val="0"/>
                <w:numId w:val="43"/>
              </w:numPr>
              <w:spacing w:before="100" w:after="0" w:line="240" w:lineRule="auto"/>
              <w:ind w:left="357" w:hanging="357"/>
              <w:contextualSpacing/>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Flebită</w:t>
            </w:r>
          </w:p>
        </w:tc>
      </w:tr>
      <w:tr w:rsidR="004818B0" w:rsidRPr="004818B0" w:rsidTr="00FF5E27">
        <w:tc>
          <w:tcPr>
            <w:tcW w:w="1210" w:type="pct"/>
            <w:shd w:val="clear" w:color="auto" w:fill="auto"/>
          </w:tcPr>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Leziuni lobulare</w:t>
            </w:r>
          </w:p>
        </w:tc>
        <w:tc>
          <w:tcPr>
            <w:tcW w:w="3790" w:type="pct"/>
            <w:shd w:val="clear" w:color="auto" w:fill="auto"/>
          </w:tcPr>
          <w:p w:rsidR="004818B0" w:rsidRPr="004818B0" w:rsidRDefault="004818B0" w:rsidP="00461D8F">
            <w:pPr>
              <w:numPr>
                <w:ilvl w:val="0"/>
                <w:numId w:val="44"/>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 xml:space="preserve">Activitate lobulară, inclusiv corpi acidofili </w:t>
            </w:r>
          </w:p>
          <w:p w:rsidR="004818B0" w:rsidRPr="004818B0" w:rsidRDefault="004818B0" w:rsidP="00461D8F">
            <w:pPr>
              <w:numPr>
                <w:ilvl w:val="0"/>
                <w:numId w:val="44"/>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Necroinflamație</w:t>
            </w:r>
          </w:p>
          <w:p w:rsidR="004818B0" w:rsidRPr="004818B0" w:rsidRDefault="004818B0" w:rsidP="00461D8F">
            <w:pPr>
              <w:numPr>
                <w:ilvl w:val="0"/>
                <w:numId w:val="44"/>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Steatoza cu picături mari</w:t>
            </w:r>
          </w:p>
          <w:p w:rsidR="004818B0" w:rsidRPr="004818B0" w:rsidRDefault="004818B0" w:rsidP="00461D8F">
            <w:pPr>
              <w:numPr>
                <w:ilvl w:val="0"/>
                <w:numId w:val="44"/>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Multinucleare și pleomorfism nuclear</w:t>
            </w:r>
          </w:p>
          <w:p w:rsidR="004818B0" w:rsidRPr="004818B0" w:rsidRDefault="004818B0" w:rsidP="00461D8F">
            <w:pPr>
              <w:numPr>
                <w:ilvl w:val="0"/>
                <w:numId w:val="44"/>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Hiperplazia celulelor sinusoidale, limfocite în sinusoide</w:t>
            </w:r>
          </w:p>
          <w:p w:rsidR="004818B0" w:rsidRPr="004818B0" w:rsidRDefault="004818B0" w:rsidP="00461D8F">
            <w:pPr>
              <w:numPr>
                <w:ilvl w:val="0"/>
                <w:numId w:val="44"/>
              </w:numPr>
              <w:spacing w:before="100" w:after="0" w:line="240" w:lineRule="auto"/>
              <w:ind w:left="357" w:hanging="357"/>
              <w:contextualSpacing/>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Microgranuloame, granuloame</w:t>
            </w:r>
          </w:p>
        </w:tc>
      </w:tr>
      <w:tr w:rsidR="004818B0" w:rsidRPr="004818B0" w:rsidTr="00FF5E27">
        <w:tc>
          <w:tcPr>
            <w:tcW w:w="1210" w:type="pct"/>
            <w:shd w:val="clear" w:color="auto" w:fill="auto"/>
          </w:tcPr>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Fibroză</w:t>
            </w:r>
          </w:p>
        </w:tc>
        <w:tc>
          <w:tcPr>
            <w:tcW w:w="3790" w:type="pct"/>
            <w:vMerge w:val="restart"/>
            <w:shd w:val="clear" w:color="auto" w:fill="auto"/>
          </w:tcPr>
          <w:p w:rsidR="004818B0" w:rsidRPr="004818B0" w:rsidRDefault="004818B0" w:rsidP="00461D8F">
            <w:pPr>
              <w:numPr>
                <w:ilvl w:val="0"/>
                <w:numId w:val="45"/>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Modificarea celulelor mari</w:t>
            </w:r>
          </w:p>
          <w:p w:rsidR="004818B0" w:rsidRPr="004818B0" w:rsidRDefault="004818B0" w:rsidP="00461D8F">
            <w:pPr>
              <w:numPr>
                <w:ilvl w:val="0"/>
                <w:numId w:val="45"/>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Modificarea celulelor mici</w:t>
            </w:r>
          </w:p>
          <w:p w:rsidR="004818B0" w:rsidRPr="004818B0" w:rsidRDefault="004818B0" w:rsidP="00461D8F">
            <w:pPr>
              <w:numPr>
                <w:ilvl w:val="0"/>
                <w:numId w:val="45"/>
              </w:numPr>
              <w:spacing w:before="100" w:after="0" w:line="240" w:lineRule="auto"/>
              <w:ind w:left="357" w:hanging="357"/>
              <w:contextualSpacing/>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Focare fără fier</w:t>
            </w:r>
          </w:p>
        </w:tc>
      </w:tr>
      <w:tr w:rsidR="004818B0" w:rsidRPr="004818B0" w:rsidTr="00FF5E27">
        <w:tc>
          <w:tcPr>
            <w:tcW w:w="1210" w:type="pct"/>
            <w:shd w:val="clear" w:color="auto" w:fill="auto"/>
          </w:tcPr>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sz w:val="24"/>
                <w:szCs w:val="24"/>
                <w:lang w:val="ro-RO" w:eastAsia="ru-RU"/>
              </w:rPr>
              <w:t>Modificări preneoplazice</w:t>
            </w:r>
          </w:p>
        </w:tc>
        <w:tc>
          <w:tcPr>
            <w:tcW w:w="3790" w:type="pct"/>
            <w:vMerge/>
            <w:shd w:val="clear" w:color="auto" w:fill="auto"/>
          </w:tcPr>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eastAsia="ru-RU"/>
              </w:rPr>
            </w:pPr>
          </w:p>
        </w:tc>
      </w:tr>
    </w:tbl>
    <w:p w:rsidR="004818B0" w:rsidRPr="004818B0" w:rsidRDefault="004818B0" w:rsidP="004818B0">
      <w:pPr>
        <w:spacing w:after="0" w:line="240" w:lineRule="auto"/>
        <w:jc w:val="both"/>
        <w:rPr>
          <w:rFonts w:ascii="Times New Roman" w:eastAsia="Times New Roman" w:hAnsi="Times New Roman" w:cs="Times New Roman"/>
          <w:bCs/>
          <w:sz w:val="24"/>
          <w:szCs w:val="24"/>
          <w:lang w:val="ro-RO" w:eastAsia="ru-RU"/>
        </w:rPr>
      </w:pPr>
      <w:r w:rsidRPr="004818B0">
        <w:rPr>
          <w:rFonts w:ascii="Times New Roman" w:eastAsia="Times New Roman" w:hAnsi="Times New Roman" w:cs="Times New Roman"/>
          <w:b/>
          <w:i/>
          <w:iCs/>
          <w:sz w:val="24"/>
          <w:szCs w:val="24"/>
          <w:lang w:val="ro-RO" w:eastAsia="ru-RU"/>
        </w:rPr>
        <w:t>Notă:</w:t>
      </w:r>
      <w:r w:rsidRPr="004818B0">
        <w:rPr>
          <w:rFonts w:ascii="Times New Roman" w:eastAsia="Times New Roman" w:hAnsi="Times New Roman" w:cs="Times New Roman"/>
          <w:bCs/>
          <w:sz w:val="24"/>
          <w:szCs w:val="24"/>
          <w:lang w:val="ro-RO" w:eastAsia="ru-RU"/>
        </w:rPr>
        <w:t xml:space="preserve"> *Cele mai multe tracturi portale mici sunt infiltrate într-o măsură variabilă de limfocite împreună cu un număr mai mic de plasmocite și ocazional leucocite segmentate.</w:t>
      </w:r>
    </w:p>
    <w:p w:rsidR="004818B0" w:rsidRPr="004818B0" w:rsidRDefault="004818B0" w:rsidP="004818B0">
      <w:pPr>
        <w:spacing w:after="0" w:line="240" w:lineRule="auto"/>
        <w:jc w:val="both"/>
        <w:rPr>
          <w:rFonts w:ascii="Times New Roman" w:eastAsia="Times New Roman" w:hAnsi="Times New Roman" w:cs="Times New Roman"/>
          <w:b/>
          <w:sz w:val="24"/>
          <w:szCs w:val="24"/>
          <w:lang w:val="ro-RO" w:eastAsia="ru-RU"/>
        </w:rPr>
      </w:pPr>
    </w:p>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rPr>
      </w:pPr>
      <w:bookmarkStart w:id="44" w:name="_Hlk153116062"/>
      <w:r w:rsidRPr="004818B0">
        <w:rPr>
          <w:rFonts w:ascii="Times New Roman" w:eastAsia="Times New Roman" w:hAnsi="Times New Roman" w:cs="Times New Roman"/>
          <w:b/>
          <w:sz w:val="24"/>
          <w:szCs w:val="24"/>
          <w:lang w:val="ro-RO" w:eastAsia="ru-RU"/>
        </w:rPr>
        <w:t xml:space="preserve">Tabelul 2. </w:t>
      </w:r>
      <w:r w:rsidRPr="004818B0">
        <w:rPr>
          <w:rFonts w:ascii="Times New Roman" w:eastAsia="Times New Roman" w:hAnsi="Times New Roman" w:cs="Times New Roman"/>
          <w:b/>
          <w:bCs/>
          <w:color w:val="232323"/>
          <w:sz w:val="24"/>
          <w:szCs w:val="24"/>
          <w:lang w:val="ro-RO"/>
        </w:rPr>
        <w:t xml:space="preserve">Scorul de fibroză și de activitate METAVIR </w:t>
      </w:r>
      <w:r w:rsidRPr="004818B0">
        <w:rPr>
          <w:rFonts w:ascii="Times New Roman" w:eastAsia="Times New Roman" w:hAnsi="Times New Roman" w:cs="Times New Roman"/>
          <w:color w:val="232323"/>
          <w:sz w:val="24"/>
          <w:szCs w:val="24"/>
          <w:lang w:val="ro-RO"/>
        </w:rPr>
        <w:t>[37]</w:t>
      </w:r>
    </w:p>
    <w:bookmarkEnd w:id="44"/>
    <w:p w:rsidR="004818B0" w:rsidRPr="004818B0" w:rsidRDefault="004818B0" w:rsidP="004818B0">
      <w:pPr>
        <w:spacing w:after="0" w:line="240" w:lineRule="auto"/>
        <w:jc w:val="both"/>
        <w:rPr>
          <w:rFonts w:ascii="Times New Roman" w:eastAsia="Times New Roman" w:hAnsi="Times New Roman" w:cs="Times New Roman"/>
          <w:color w:val="232323"/>
          <w:sz w:val="24"/>
          <w:szCs w:val="24"/>
          <w:lang w:val="ro-RO"/>
        </w:rPr>
      </w:pPr>
      <w:r w:rsidRPr="004818B0">
        <w:rPr>
          <w:rFonts w:ascii="Times New Roman" w:eastAsia="Times New Roman" w:hAnsi="Times New Roman" w:cs="Times New Roman"/>
          <w:color w:val="232323"/>
          <w:sz w:val="24"/>
          <w:szCs w:val="24"/>
          <w:lang w:val="ro-RO"/>
        </w:rPr>
        <w:fldChar w:fldCharType="begin"/>
      </w:r>
      <w:r w:rsidRPr="004818B0">
        <w:rPr>
          <w:rFonts w:ascii="Times New Roman" w:eastAsia="Times New Roman" w:hAnsi="Times New Roman" w:cs="Times New Roman"/>
          <w:color w:val="232323"/>
          <w:sz w:val="24"/>
          <w:szCs w:val="24"/>
          <w:lang w:val="ro-RO"/>
        </w:rPr>
        <w:instrText xml:space="preserve"> HYPERLINK "https://www.ncbi.nlm.nih.gov/pmc/articles/PMC8087941/" </w:instrText>
      </w:r>
      <w:r w:rsidRPr="004818B0">
        <w:rPr>
          <w:rFonts w:ascii="Times New Roman" w:eastAsia="Times New Roman" w:hAnsi="Times New Roman" w:cs="Times New Roman"/>
          <w:color w:val="232323"/>
          <w:sz w:val="24"/>
          <w:szCs w:val="24"/>
          <w:lang w:val="ro-RO"/>
        </w:rPr>
        <w:fldChar w:fldCharType="separate"/>
      </w:r>
      <w:r w:rsidRPr="004818B0">
        <w:rPr>
          <w:rFonts w:ascii="Times New Roman" w:eastAsia="Times New Roman" w:hAnsi="Times New Roman" w:cs="Times New Roman"/>
          <w:color w:val="0000FF"/>
          <w:sz w:val="24"/>
          <w:szCs w:val="24"/>
          <w:u w:val="single"/>
          <w:lang w:val="ro-RO"/>
        </w:rPr>
        <w:t>https://www.ncbi.nlm.nih.gov/pmc/articles/PMC8087941/</w:t>
      </w:r>
      <w:r w:rsidRPr="004818B0">
        <w:rPr>
          <w:rFonts w:ascii="Times New Roman" w:eastAsia="Times New Roman" w:hAnsi="Times New Roman" w:cs="Times New Roman"/>
          <w:color w:val="232323"/>
          <w:sz w:val="24"/>
          <w:szCs w:val="24"/>
          <w:lang w:val="ro-RO"/>
        </w:rPr>
        <w:fldChar w:fldCharType="end"/>
      </w:r>
      <w:r w:rsidRPr="004818B0">
        <w:rPr>
          <w:rFonts w:ascii="Times New Roman" w:eastAsia="Times New Roman" w:hAnsi="Times New Roman" w:cs="Times New Roman"/>
          <w:color w:val="232323"/>
          <w:sz w:val="24"/>
          <w:szCs w:val="24"/>
          <w:lang w:val="ro-R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557"/>
        <w:gridCol w:w="3622"/>
        <w:gridCol w:w="593"/>
      </w:tblGrid>
      <w:tr w:rsidR="004818B0" w:rsidRPr="004818B0" w:rsidTr="00FF5E27">
        <w:tc>
          <w:tcPr>
            <w:tcW w:w="2431"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rPr>
            </w:pPr>
            <w:r w:rsidRPr="004818B0">
              <w:rPr>
                <w:rFonts w:ascii="Times New Roman" w:eastAsia="Times New Roman" w:hAnsi="Times New Roman" w:cs="Times New Roman"/>
                <w:b/>
                <w:bCs/>
                <w:sz w:val="24"/>
                <w:szCs w:val="24"/>
                <w:lang w:val="ro-RO"/>
              </w:rPr>
              <w:t>Scorul de fibroză METAVIR</w:t>
            </w:r>
          </w:p>
        </w:tc>
        <w:tc>
          <w:tcPr>
            <w:tcW w:w="30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rPr>
            </w:pPr>
            <w:r w:rsidRPr="004818B0">
              <w:rPr>
                <w:rFonts w:ascii="Times New Roman" w:eastAsia="Times New Roman" w:hAnsi="Times New Roman" w:cs="Times New Roman"/>
                <w:b/>
                <w:bCs/>
                <w:sz w:val="24"/>
                <w:szCs w:val="24"/>
                <w:lang w:val="ro-RO"/>
              </w:rPr>
              <w:t xml:space="preserve"> </w:t>
            </w:r>
          </w:p>
        </w:tc>
        <w:tc>
          <w:tcPr>
            <w:tcW w:w="195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rPr>
            </w:pPr>
            <w:r w:rsidRPr="004818B0">
              <w:rPr>
                <w:rFonts w:ascii="Times New Roman" w:eastAsia="Times New Roman" w:hAnsi="Times New Roman" w:cs="Times New Roman"/>
                <w:b/>
                <w:bCs/>
                <w:sz w:val="24"/>
                <w:szCs w:val="24"/>
                <w:lang w:val="ro-RO"/>
              </w:rPr>
              <w:t>Scorul de activitate METAVIR</w:t>
            </w:r>
          </w:p>
        </w:tc>
        <w:tc>
          <w:tcPr>
            <w:tcW w:w="319"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rPr>
            </w:pPr>
            <w:r w:rsidRPr="004818B0">
              <w:rPr>
                <w:rFonts w:ascii="Times New Roman" w:eastAsia="Times New Roman" w:hAnsi="Times New Roman" w:cs="Times New Roman"/>
                <w:b/>
                <w:bCs/>
                <w:sz w:val="24"/>
                <w:szCs w:val="24"/>
                <w:lang w:val="ro-RO"/>
              </w:rPr>
              <w:t xml:space="preserve"> </w:t>
            </w:r>
          </w:p>
        </w:tc>
      </w:tr>
      <w:tr w:rsidR="004818B0" w:rsidRPr="004818B0" w:rsidTr="00FF5E27">
        <w:tc>
          <w:tcPr>
            <w:tcW w:w="2431"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Fara fibroza</w:t>
            </w:r>
          </w:p>
        </w:tc>
        <w:tc>
          <w:tcPr>
            <w:tcW w:w="30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F0</w:t>
            </w:r>
          </w:p>
        </w:tc>
        <w:tc>
          <w:tcPr>
            <w:tcW w:w="195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Fără activitate</w:t>
            </w:r>
          </w:p>
        </w:tc>
        <w:tc>
          <w:tcPr>
            <w:tcW w:w="319"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A0</w:t>
            </w:r>
          </w:p>
        </w:tc>
      </w:tr>
      <w:tr w:rsidR="004818B0" w:rsidRPr="004818B0" w:rsidTr="00FF5E27">
        <w:tc>
          <w:tcPr>
            <w:tcW w:w="2431"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Fibroza portală fără septuri</w:t>
            </w:r>
          </w:p>
        </w:tc>
        <w:tc>
          <w:tcPr>
            <w:tcW w:w="30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F1</w:t>
            </w:r>
          </w:p>
        </w:tc>
        <w:tc>
          <w:tcPr>
            <w:tcW w:w="195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Activitate ușoară</w:t>
            </w:r>
          </w:p>
        </w:tc>
        <w:tc>
          <w:tcPr>
            <w:tcW w:w="319"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A1</w:t>
            </w:r>
          </w:p>
        </w:tc>
      </w:tr>
      <w:tr w:rsidR="004818B0" w:rsidRPr="004818B0" w:rsidTr="00FF5E27">
        <w:tc>
          <w:tcPr>
            <w:tcW w:w="2431"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Fibroză portală cu puține septuri</w:t>
            </w:r>
          </w:p>
        </w:tc>
        <w:tc>
          <w:tcPr>
            <w:tcW w:w="30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F2</w:t>
            </w:r>
          </w:p>
        </w:tc>
        <w:tc>
          <w:tcPr>
            <w:tcW w:w="195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Activitate moderată</w:t>
            </w:r>
          </w:p>
        </w:tc>
        <w:tc>
          <w:tcPr>
            <w:tcW w:w="319"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A2</w:t>
            </w:r>
          </w:p>
        </w:tc>
      </w:tr>
      <w:tr w:rsidR="004818B0" w:rsidRPr="004818B0" w:rsidTr="00FF5E27">
        <w:tc>
          <w:tcPr>
            <w:tcW w:w="2431"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Fibroza portală cu numeroase septuri, fără ciroză</w:t>
            </w:r>
          </w:p>
        </w:tc>
        <w:tc>
          <w:tcPr>
            <w:tcW w:w="30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F3</w:t>
            </w:r>
          </w:p>
        </w:tc>
        <w:tc>
          <w:tcPr>
            <w:tcW w:w="195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Activitate severă</w:t>
            </w:r>
          </w:p>
        </w:tc>
        <w:tc>
          <w:tcPr>
            <w:tcW w:w="319"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A3</w:t>
            </w:r>
          </w:p>
        </w:tc>
      </w:tr>
      <w:tr w:rsidR="004818B0" w:rsidRPr="004818B0" w:rsidTr="00FF5E27">
        <w:tc>
          <w:tcPr>
            <w:tcW w:w="2431"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Ciroză</w:t>
            </w:r>
          </w:p>
        </w:tc>
        <w:tc>
          <w:tcPr>
            <w:tcW w:w="30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F4</w:t>
            </w:r>
          </w:p>
        </w:tc>
        <w:tc>
          <w:tcPr>
            <w:tcW w:w="195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 xml:space="preserve"> </w:t>
            </w:r>
          </w:p>
        </w:tc>
        <w:tc>
          <w:tcPr>
            <w:tcW w:w="319"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rPr>
            </w:pPr>
            <w:r w:rsidRPr="004818B0">
              <w:rPr>
                <w:rFonts w:ascii="Times New Roman" w:eastAsia="Times New Roman" w:hAnsi="Times New Roman" w:cs="Times New Roman"/>
                <w:sz w:val="24"/>
                <w:szCs w:val="24"/>
                <w:lang w:val="ro-RO"/>
              </w:rPr>
              <w:t xml:space="preserve"> </w:t>
            </w:r>
          </w:p>
        </w:tc>
      </w:tr>
    </w:tbl>
    <w:p w:rsidR="004818B0" w:rsidRPr="004818B0" w:rsidRDefault="004818B0" w:rsidP="004818B0">
      <w:pPr>
        <w:spacing w:after="0" w:line="240" w:lineRule="auto"/>
        <w:jc w:val="both"/>
        <w:rPr>
          <w:rFonts w:ascii="Times New Roman" w:eastAsia="Times New Roman" w:hAnsi="Times New Roman" w:cs="Times New Roman"/>
          <w:bCs/>
          <w:i/>
          <w:sz w:val="24"/>
          <w:szCs w:val="24"/>
          <w:lang w:val="ro-RO" w:eastAsia="ru-RU"/>
        </w:rPr>
      </w:pPr>
      <w:r w:rsidRPr="004818B0">
        <w:rPr>
          <w:rFonts w:ascii="Times New Roman" w:eastAsia="Times New Roman" w:hAnsi="Times New Roman" w:cs="Times New Roman"/>
          <w:b/>
          <w:i/>
          <w:sz w:val="24"/>
          <w:szCs w:val="24"/>
          <w:lang w:val="ro-RO" w:eastAsia="ru-RU"/>
        </w:rPr>
        <w:t>Notă:</w:t>
      </w:r>
      <w:r w:rsidRPr="004818B0">
        <w:rPr>
          <w:rFonts w:ascii="Times New Roman" w:eastAsia="Times New Roman" w:hAnsi="Times New Roman" w:cs="Times New Roman"/>
          <w:bCs/>
          <w:i/>
          <w:sz w:val="24"/>
          <w:szCs w:val="24"/>
          <w:lang w:val="ro-RO" w:eastAsia="ru-RU"/>
        </w:rPr>
        <w:t xml:space="preserve"> </w:t>
      </w:r>
      <w:r w:rsidRPr="004818B0">
        <w:rPr>
          <w:rFonts w:ascii="Times New Roman" w:eastAsia="Times New Roman" w:hAnsi="Times New Roman" w:cs="Times New Roman"/>
          <w:color w:val="232323"/>
          <w:sz w:val="24"/>
          <w:szCs w:val="24"/>
          <w:shd w:val="clear" w:color="auto" w:fill="FFFFFF"/>
          <w:lang w:val="ro-RO" w:eastAsia="ru-RU"/>
        </w:rPr>
        <w:t>Spre deosebire de scorul Knodell, care a fost conceput ca un sistem de scor generic pentru hepatita cronică, scorul METAVIR a fost special conceput și validat pentru pacienții cu VHC.</w:t>
      </w:r>
    </w:p>
    <w:p w:rsidR="004818B0" w:rsidRPr="004818B0" w:rsidRDefault="004818B0" w:rsidP="004818B0">
      <w:pPr>
        <w:spacing w:after="0" w:line="240" w:lineRule="auto"/>
        <w:jc w:val="both"/>
        <w:rPr>
          <w:rFonts w:ascii="Times New Roman" w:eastAsia="Times New Roman" w:hAnsi="Times New Roman" w:cs="Times New Roman"/>
          <w:b/>
          <w:iCs/>
          <w:sz w:val="24"/>
          <w:szCs w:val="24"/>
          <w:lang w:val="ro-RO" w:eastAsia="ru-RU"/>
        </w:rPr>
      </w:pPr>
    </w:p>
    <w:p w:rsidR="004818B0" w:rsidRPr="004818B0" w:rsidRDefault="004818B0" w:rsidP="004818B0">
      <w:pPr>
        <w:spacing w:after="0" w:line="240" w:lineRule="auto"/>
        <w:jc w:val="both"/>
        <w:rPr>
          <w:rFonts w:ascii="Times New Roman" w:eastAsia="Times New Roman" w:hAnsi="Times New Roman" w:cs="Times New Roman"/>
          <w:b/>
          <w:sz w:val="24"/>
          <w:szCs w:val="24"/>
          <w:lang w:val="ro-RO" w:eastAsia="ru-RU"/>
        </w:rPr>
      </w:pPr>
      <w:bookmarkStart w:id="45" w:name="_Hlk153116144"/>
      <w:r w:rsidRPr="004818B0">
        <w:rPr>
          <w:rFonts w:ascii="Times New Roman" w:eastAsia="Times New Roman" w:hAnsi="Times New Roman" w:cs="Times New Roman"/>
          <w:b/>
          <w:sz w:val="24"/>
          <w:szCs w:val="24"/>
          <w:lang w:val="ro-RO" w:eastAsia="ru-RU"/>
        </w:rPr>
        <w:t xml:space="preserve">Tabelul 3. Sistemele de scoruri </w:t>
      </w:r>
      <w:r w:rsidRPr="004818B0">
        <w:rPr>
          <w:rFonts w:ascii="Times New Roman" w:eastAsia="Times New Roman" w:hAnsi="Times New Roman" w:cs="Times New Roman"/>
          <w:b/>
          <w:i/>
          <w:sz w:val="24"/>
          <w:szCs w:val="24"/>
          <w:lang w:val="ro-RO" w:eastAsia="ru-RU"/>
        </w:rPr>
        <w:t>Child-</w:t>
      </w:r>
      <w:r w:rsidRPr="004818B0">
        <w:rPr>
          <w:rFonts w:ascii="Times New Roman" w:eastAsia="Arial" w:hAnsi="Times New Roman" w:cs="Times New Roman"/>
          <w:b/>
          <w:i/>
          <w:sz w:val="24"/>
          <w:szCs w:val="24"/>
          <w:lang w:val="ro-RO" w:eastAsia="ru-RU"/>
        </w:rPr>
        <w:t xml:space="preserve"> </w:t>
      </w:r>
      <w:r w:rsidRPr="004818B0">
        <w:rPr>
          <w:rFonts w:ascii="Times New Roman" w:eastAsia="Times New Roman" w:hAnsi="Times New Roman" w:cs="Times New Roman"/>
          <w:b/>
          <w:i/>
          <w:sz w:val="24"/>
          <w:szCs w:val="24"/>
          <w:lang w:val="ro-RO" w:eastAsia="ru-RU"/>
        </w:rPr>
        <w:t>Pugh</w:t>
      </w:r>
      <w:r w:rsidRPr="004818B0">
        <w:rPr>
          <w:rFonts w:ascii="Times New Roman" w:eastAsia="Times New Roman" w:hAnsi="Times New Roman" w:cs="Times New Roman"/>
          <w:b/>
          <w:iCs/>
          <w:sz w:val="24"/>
          <w:szCs w:val="24"/>
          <w:lang w:val="ro-RO" w:eastAsia="ru-RU"/>
        </w:rPr>
        <w:t xml:space="preserve"> și</w:t>
      </w:r>
      <w:r w:rsidRPr="004818B0">
        <w:rPr>
          <w:rFonts w:ascii="Times New Roman" w:eastAsia="Times New Roman" w:hAnsi="Times New Roman" w:cs="Times New Roman"/>
          <w:b/>
          <w:i/>
          <w:sz w:val="24"/>
          <w:szCs w:val="24"/>
          <w:lang w:val="ro-RO" w:eastAsia="ru-RU"/>
        </w:rPr>
        <w:t xml:space="preserve"> Modelul pentru boala hepatică în stadiul final (MELD)</w:t>
      </w:r>
      <w:r w:rsidRPr="004818B0">
        <w:rPr>
          <w:rFonts w:ascii="Times New Roman" w:eastAsia="Times New Roman" w:hAnsi="Times New Roman" w:cs="Times New Roman"/>
          <w:b/>
          <w:sz w:val="24"/>
          <w:szCs w:val="24"/>
          <w:lang w:val="ro-RO" w:eastAsia="ru-RU"/>
        </w:rPr>
        <w:t xml:space="preserve"> pentru prezicerea prognosticului la persoanele cu boală hepatică decompensată</w:t>
      </w:r>
      <w:bookmarkEnd w:id="45"/>
      <w:r w:rsidRPr="004818B0">
        <w:rPr>
          <w:rFonts w:ascii="Times New Roman" w:eastAsia="Times New Roman" w:hAnsi="Times New Roman" w:cs="Times New Roman"/>
          <w:b/>
          <w:sz w:val="24"/>
          <w:szCs w:val="24"/>
          <w:lang w:val="ro-RO" w:eastAsia="ru-RU"/>
        </w:rPr>
        <w:t xml:space="preserve"> </w:t>
      </w:r>
      <w:hyperlink r:id="rId32" w:history="1">
        <w:r w:rsidRPr="004818B0">
          <w:rPr>
            <w:rFonts w:ascii="Times New Roman" w:eastAsia="Times New Roman" w:hAnsi="Times New Roman" w:cs="Times New Roman"/>
            <w:bCs/>
            <w:color w:val="0000FF"/>
            <w:sz w:val="24"/>
            <w:szCs w:val="24"/>
            <w:u w:val="single"/>
            <w:lang w:val="ro-RO" w:eastAsia="ru-RU"/>
          </w:rPr>
          <w:t>https://www.ncbi.nlm.nih.gov/books/NBK542308/</w:t>
        </w:r>
      </w:hyperlink>
    </w:p>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798"/>
        <w:gridCol w:w="2824"/>
        <w:gridCol w:w="1796"/>
      </w:tblGrid>
      <w:tr w:rsidR="004818B0" w:rsidRPr="004818B0" w:rsidTr="00FF5E27">
        <w:tc>
          <w:tcPr>
            <w:tcW w:w="1545" w:type="pct"/>
            <w:vMerge w:val="restar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eastAsia="ru-RU"/>
              </w:rPr>
            </w:pPr>
            <w:r w:rsidRPr="004818B0">
              <w:rPr>
                <w:rFonts w:ascii="Times New Roman" w:eastAsia="Times New Roman" w:hAnsi="Times New Roman" w:cs="Times New Roman"/>
                <w:b/>
                <w:bCs/>
                <w:sz w:val="24"/>
                <w:szCs w:val="24"/>
                <w:lang w:val="ro-RO" w:eastAsia="ru-RU"/>
              </w:rPr>
              <w:t>Parametru</w:t>
            </w:r>
          </w:p>
        </w:tc>
        <w:tc>
          <w:tcPr>
            <w:tcW w:w="3455" w:type="pct"/>
            <w:gridSpan w:val="3"/>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eastAsia="ru-RU"/>
              </w:rPr>
            </w:pPr>
            <w:r w:rsidRPr="004818B0">
              <w:rPr>
                <w:rFonts w:ascii="Times New Roman" w:eastAsia="Times New Roman" w:hAnsi="Times New Roman" w:cs="Times New Roman"/>
                <w:b/>
                <w:bCs/>
                <w:sz w:val="24"/>
                <w:szCs w:val="24"/>
                <w:lang w:val="ro-RO" w:eastAsia="ru-RU"/>
              </w:rPr>
              <w:t>Puncte atribuite</w:t>
            </w:r>
          </w:p>
        </w:tc>
      </w:tr>
      <w:tr w:rsidR="004818B0" w:rsidRPr="004818B0" w:rsidTr="00FF5E27">
        <w:tc>
          <w:tcPr>
            <w:tcW w:w="1545" w:type="pct"/>
            <w:vMerge/>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eastAsia="ru-RU"/>
              </w:rPr>
            </w:pPr>
          </w:p>
        </w:tc>
        <w:tc>
          <w:tcPr>
            <w:tcW w:w="968"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eastAsia="ru-RU"/>
              </w:rPr>
            </w:pPr>
            <w:r w:rsidRPr="004818B0">
              <w:rPr>
                <w:rFonts w:ascii="Times New Roman" w:eastAsia="Times New Roman" w:hAnsi="Times New Roman" w:cs="Times New Roman"/>
                <w:b/>
                <w:bCs/>
                <w:sz w:val="24"/>
                <w:szCs w:val="24"/>
                <w:lang w:val="ro-RO" w:eastAsia="ru-RU"/>
              </w:rPr>
              <w:t>1</w:t>
            </w:r>
          </w:p>
        </w:tc>
        <w:tc>
          <w:tcPr>
            <w:tcW w:w="152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eastAsia="ru-RU"/>
              </w:rPr>
            </w:pPr>
            <w:r w:rsidRPr="004818B0">
              <w:rPr>
                <w:rFonts w:ascii="Times New Roman" w:eastAsia="Times New Roman" w:hAnsi="Times New Roman" w:cs="Times New Roman"/>
                <w:b/>
                <w:bCs/>
                <w:sz w:val="24"/>
                <w:szCs w:val="24"/>
                <w:lang w:val="ro-RO" w:eastAsia="ru-RU"/>
              </w:rPr>
              <w:t>2</w:t>
            </w:r>
          </w:p>
        </w:tc>
        <w:tc>
          <w:tcPr>
            <w:tcW w:w="967"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b/>
                <w:bCs/>
                <w:sz w:val="24"/>
                <w:szCs w:val="24"/>
                <w:lang w:val="ro-RO" w:eastAsia="ru-RU"/>
              </w:rPr>
            </w:pPr>
            <w:r w:rsidRPr="004818B0">
              <w:rPr>
                <w:rFonts w:ascii="Times New Roman" w:eastAsia="Times New Roman" w:hAnsi="Times New Roman" w:cs="Times New Roman"/>
                <w:b/>
                <w:bCs/>
                <w:sz w:val="24"/>
                <w:szCs w:val="24"/>
                <w:lang w:val="ro-RO" w:eastAsia="ru-RU"/>
              </w:rPr>
              <w:t>3</w:t>
            </w:r>
          </w:p>
        </w:tc>
      </w:tr>
      <w:tr w:rsidR="004818B0" w:rsidRPr="004818B0" w:rsidTr="00FF5E27">
        <w:tc>
          <w:tcPr>
            <w:tcW w:w="1545"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lastRenderedPageBreak/>
              <w:t>Ascita</w:t>
            </w:r>
          </w:p>
        </w:tc>
        <w:tc>
          <w:tcPr>
            <w:tcW w:w="968"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Absent</w:t>
            </w:r>
          </w:p>
        </w:tc>
        <w:tc>
          <w:tcPr>
            <w:tcW w:w="1520"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Uşor</w:t>
            </w:r>
          </w:p>
        </w:tc>
        <w:tc>
          <w:tcPr>
            <w:tcW w:w="967"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Moderat</w:t>
            </w:r>
          </w:p>
        </w:tc>
      </w:tr>
      <w:tr w:rsidR="004818B0" w:rsidRPr="004818B0" w:rsidTr="00FF5E27">
        <w:tc>
          <w:tcPr>
            <w:tcW w:w="1545"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Bilirubina</w:t>
            </w:r>
          </w:p>
        </w:tc>
        <w:tc>
          <w:tcPr>
            <w:tcW w:w="968"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&lt;34,2 micromol/L (&lt;2 mg/dL )</w:t>
            </w:r>
          </w:p>
        </w:tc>
        <w:tc>
          <w:tcPr>
            <w:tcW w:w="1520"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 xml:space="preserve"> 34,2 până la 51,3 micromol/L (2 până la 3 mg/dL)</w:t>
            </w:r>
          </w:p>
        </w:tc>
        <w:tc>
          <w:tcPr>
            <w:tcW w:w="967"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&gt;51,3 micromol/L (&gt;3 mg/dL)</w:t>
            </w:r>
          </w:p>
        </w:tc>
      </w:tr>
      <w:tr w:rsidR="004818B0" w:rsidRPr="004818B0" w:rsidTr="00FF5E27">
        <w:tc>
          <w:tcPr>
            <w:tcW w:w="1545"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Albumină</w:t>
            </w:r>
          </w:p>
        </w:tc>
        <w:tc>
          <w:tcPr>
            <w:tcW w:w="968"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&gt; 35 g/L (3,5 g/dL)</w:t>
            </w:r>
          </w:p>
        </w:tc>
        <w:tc>
          <w:tcPr>
            <w:tcW w:w="1520"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28 până la 35 g/L (2,8 până la 3,5 g/dL) (</w:t>
            </w:r>
          </w:p>
        </w:tc>
        <w:tc>
          <w:tcPr>
            <w:tcW w:w="967"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&lt;28 g/L(&lt;2,8 g/dL)</w:t>
            </w:r>
          </w:p>
        </w:tc>
      </w:tr>
      <w:tr w:rsidR="004818B0" w:rsidRPr="004818B0" w:rsidTr="00FF5E27">
        <w:trPr>
          <w:trHeight w:val="509"/>
        </w:trPr>
        <w:tc>
          <w:tcPr>
            <w:tcW w:w="1545" w:type="pct"/>
            <w:vMerge w:val="restar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Timpul de protrombină (secunde peste control) sau</w:t>
            </w:r>
          </w:p>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color w:val="232323"/>
                <w:sz w:val="24"/>
                <w:szCs w:val="24"/>
                <w:shd w:val="clear" w:color="auto" w:fill="FFFFFF"/>
                <w:lang w:val="ro-RO" w:eastAsia="ru-RU"/>
              </w:rPr>
              <w:t>raport internațional normalizat (</w:t>
            </w:r>
            <w:r w:rsidRPr="004818B0">
              <w:rPr>
                <w:rFonts w:ascii="Times New Roman" w:eastAsia="Times New Roman" w:hAnsi="Times New Roman" w:cs="Times New Roman"/>
                <w:sz w:val="24"/>
                <w:szCs w:val="24"/>
                <w:lang w:val="ro-RO" w:eastAsia="ru-RU"/>
              </w:rPr>
              <w:t>INR)</w:t>
            </w:r>
          </w:p>
        </w:tc>
        <w:tc>
          <w:tcPr>
            <w:tcW w:w="968"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&lt;4</w:t>
            </w:r>
          </w:p>
        </w:tc>
        <w:tc>
          <w:tcPr>
            <w:tcW w:w="1520"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4 la 6</w:t>
            </w:r>
          </w:p>
        </w:tc>
        <w:tc>
          <w:tcPr>
            <w:tcW w:w="967"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&gt;6</w:t>
            </w:r>
          </w:p>
        </w:tc>
      </w:tr>
      <w:tr w:rsidR="004818B0" w:rsidRPr="004818B0" w:rsidTr="00FF5E27">
        <w:tc>
          <w:tcPr>
            <w:tcW w:w="1545" w:type="pct"/>
            <w:vMerge/>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p>
        </w:tc>
        <w:tc>
          <w:tcPr>
            <w:tcW w:w="968"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p>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&lt;1,7</w:t>
            </w:r>
          </w:p>
        </w:tc>
        <w:tc>
          <w:tcPr>
            <w:tcW w:w="1520"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p>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1,7 până la 2,3</w:t>
            </w:r>
          </w:p>
        </w:tc>
        <w:tc>
          <w:tcPr>
            <w:tcW w:w="967"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p>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&gt;2.3</w:t>
            </w:r>
          </w:p>
        </w:tc>
      </w:tr>
      <w:tr w:rsidR="004818B0" w:rsidRPr="004818B0" w:rsidTr="00FF5E27">
        <w:tc>
          <w:tcPr>
            <w:tcW w:w="1545" w:type="pct"/>
            <w:shd w:val="clear" w:color="auto" w:fill="auto"/>
            <w:hideMark/>
          </w:tcPr>
          <w:p w:rsidR="004818B0" w:rsidRPr="004818B0" w:rsidRDefault="004818B0" w:rsidP="004818B0">
            <w:pPr>
              <w:spacing w:after="0" w:line="240" w:lineRule="auto"/>
              <w:jc w:val="both"/>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Encefalopatie</w:t>
            </w:r>
          </w:p>
        </w:tc>
        <w:tc>
          <w:tcPr>
            <w:tcW w:w="968"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Nici unul</w:t>
            </w:r>
          </w:p>
        </w:tc>
        <w:tc>
          <w:tcPr>
            <w:tcW w:w="1520"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Clasa 1 până la 2</w:t>
            </w:r>
          </w:p>
        </w:tc>
        <w:tc>
          <w:tcPr>
            <w:tcW w:w="967" w:type="pct"/>
            <w:shd w:val="clear" w:color="auto" w:fill="auto"/>
            <w:hideMark/>
          </w:tcPr>
          <w:p w:rsidR="004818B0" w:rsidRPr="004818B0" w:rsidRDefault="004818B0" w:rsidP="004818B0">
            <w:pPr>
              <w:spacing w:after="0" w:line="240" w:lineRule="auto"/>
              <w:rPr>
                <w:rFonts w:ascii="Times New Roman" w:eastAsia="Times New Roman" w:hAnsi="Times New Roman" w:cs="Times New Roman"/>
                <w:sz w:val="24"/>
                <w:szCs w:val="24"/>
                <w:lang w:val="ro-RO" w:eastAsia="ru-RU"/>
              </w:rPr>
            </w:pPr>
            <w:r w:rsidRPr="004818B0">
              <w:rPr>
                <w:rFonts w:ascii="Times New Roman" w:eastAsia="Times New Roman" w:hAnsi="Times New Roman" w:cs="Times New Roman"/>
                <w:sz w:val="24"/>
                <w:szCs w:val="24"/>
                <w:lang w:val="ro-RO" w:eastAsia="ru-RU"/>
              </w:rPr>
              <w:t>Clasele 3-4</w:t>
            </w:r>
          </w:p>
        </w:tc>
      </w:tr>
    </w:tbl>
    <w:p w:rsidR="004818B0" w:rsidRPr="004818B0" w:rsidRDefault="004818B0" w:rsidP="004818B0">
      <w:pPr>
        <w:spacing w:after="0" w:line="240" w:lineRule="auto"/>
        <w:rPr>
          <w:rFonts w:ascii="Times New Roman" w:eastAsia="Times New Roman" w:hAnsi="Times New Roman" w:cs="Times New Roman"/>
          <w:vanish/>
          <w:sz w:val="24"/>
          <w:szCs w:val="24"/>
          <w:lang w:val="ro-RO"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4818B0" w:rsidRPr="00D645AA" w:rsidTr="00FF5E27">
        <w:trPr>
          <w:trHeight w:val="311"/>
          <w:tblHeader/>
        </w:trPr>
        <w:tc>
          <w:tcPr>
            <w:tcW w:w="5000" w:type="pct"/>
          </w:tcPr>
          <w:p w:rsidR="004818B0" w:rsidRPr="004818B0" w:rsidRDefault="004818B0" w:rsidP="004818B0">
            <w:pPr>
              <w:spacing w:after="0" w:line="240" w:lineRule="auto"/>
              <w:jc w:val="both"/>
              <w:rPr>
                <w:rFonts w:ascii="Times New Roman" w:eastAsia="Times New Roman" w:hAnsi="Times New Roman" w:cs="Times New Roman"/>
                <w:b/>
                <w:bCs/>
                <w:i/>
                <w:iCs/>
                <w:sz w:val="24"/>
                <w:szCs w:val="24"/>
                <w:lang w:val="ro-RO" w:eastAsia="ru-RU"/>
              </w:rPr>
            </w:pPr>
            <w:r w:rsidRPr="004818B0">
              <w:rPr>
                <w:rFonts w:ascii="Times New Roman" w:eastAsia="Times New Roman" w:hAnsi="Times New Roman" w:cs="Times New Roman"/>
                <w:b/>
                <w:bCs/>
                <w:i/>
                <w:iCs/>
                <w:sz w:val="24"/>
                <w:szCs w:val="24"/>
                <w:lang w:val="ro-RO" w:eastAsia="ru-RU"/>
              </w:rPr>
              <w:t>Scorul MELD:</w:t>
            </w:r>
            <w:r w:rsidRPr="004818B0">
              <w:rPr>
                <w:rFonts w:ascii="Times New Roman" w:eastAsia="Times New Roman" w:hAnsi="Times New Roman" w:cs="Times New Roman"/>
                <w:sz w:val="24"/>
                <w:szCs w:val="24"/>
                <w:lang w:val="ro-RO" w:eastAsia="ru-RU"/>
              </w:rPr>
              <w:t xml:space="preserve"> </w:t>
            </w:r>
            <w:hyperlink r:id="rId33" w:history="1">
              <w:r w:rsidRPr="004818B0">
                <w:rPr>
                  <w:rFonts w:ascii="Times New Roman" w:eastAsia="Times New Roman" w:hAnsi="Times New Roman" w:cs="Times New Roman"/>
                  <w:color w:val="0000FF"/>
                  <w:sz w:val="24"/>
                  <w:szCs w:val="24"/>
                  <w:u w:val="single"/>
                  <w:lang w:val="ro-RO" w:eastAsia="ru-RU"/>
                </w:rPr>
                <w:t>https://www.mdcalc.com/calc/10437/model-end-stage-liver-disease-meld</w:t>
              </w:r>
            </w:hyperlink>
          </w:p>
        </w:tc>
      </w:tr>
    </w:tbl>
    <w:p w:rsidR="0039479B" w:rsidRPr="004E2582" w:rsidRDefault="004818B0" w:rsidP="004E2582">
      <w:pPr>
        <w:spacing w:after="0" w:line="240" w:lineRule="auto"/>
        <w:jc w:val="both"/>
        <w:rPr>
          <w:rFonts w:ascii="Times New Roman" w:eastAsia="Times New Roman" w:hAnsi="Times New Roman" w:cs="Times New Roman"/>
          <w:color w:val="232323"/>
          <w:sz w:val="24"/>
          <w:szCs w:val="24"/>
          <w:lang w:val="ro-RO" w:eastAsia="ru-RU"/>
        </w:rPr>
      </w:pPr>
      <w:r w:rsidRPr="004818B0">
        <w:rPr>
          <w:rFonts w:ascii="Times New Roman" w:eastAsia="Times New Roman" w:hAnsi="Times New Roman" w:cs="Times New Roman"/>
          <w:color w:val="232323"/>
          <w:sz w:val="24"/>
          <w:szCs w:val="24"/>
          <w:lang w:val="ro-RO" w:eastAsia="ru-RU"/>
        </w:rPr>
        <w:t xml:space="preserve">Clasificarea </w:t>
      </w:r>
      <w:r w:rsidRPr="004818B0">
        <w:rPr>
          <w:rFonts w:ascii="Times New Roman" w:eastAsia="Times New Roman" w:hAnsi="Times New Roman" w:cs="Times New Roman"/>
          <w:i/>
          <w:iCs/>
          <w:color w:val="232323"/>
          <w:sz w:val="24"/>
          <w:szCs w:val="24"/>
          <w:lang w:val="ro-RO" w:eastAsia="ru-RU"/>
        </w:rPr>
        <w:t>Child-Pugh</w:t>
      </w:r>
      <w:r w:rsidRPr="004818B0">
        <w:rPr>
          <w:rFonts w:ascii="Times New Roman" w:eastAsia="Times New Roman" w:hAnsi="Times New Roman" w:cs="Times New Roman"/>
          <w:color w:val="232323"/>
          <w:sz w:val="24"/>
          <w:szCs w:val="24"/>
          <w:lang w:val="ro-RO" w:eastAsia="ru-RU"/>
        </w:rPr>
        <w:t xml:space="preserve"> modificată a severității bolii hepatice în funcție de gradul de ascită, concentrațiile serice de bilirubină și albumină, timpul de protrombină și gradul de encefalopatie. Un scor total </w:t>
      </w:r>
      <w:r w:rsidRPr="004818B0">
        <w:rPr>
          <w:rFonts w:ascii="Times New Roman" w:eastAsia="Times New Roman" w:hAnsi="Times New Roman" w:cs="Times New Roman"/>
          <w:i/>
          <w:iCs/>
          <w:color w:val="232323"/>
          <w:sz w:val="24"/>
          <w:szCs w:val="24"/>
          <w:lang w:val="ro-RO" w:eastAsia="ru-RU"/>
        </w:rPr>
        <w:t>Child-Turcotte-Pugh</w:t>
      </w:r>
      <w:r w:rsidRPr="004818B0">
        <w:rPr>
          <w:rFonts w:ascii="Times New Roman" w:eastAsia="Times New Roman" w:hAnsi="Times New Roman" w:cs="Times New Roman"/>
          <w:color w:val="232323"/>
          <w:sz w:val="24"/>
          <w:szCs w:val="24"/>
          <w:lang w:val="ro-RO" w:eastAsia="ru-RU"/>
        </w:rPr>
        <w:t xml:space="preserve"> de 5 până la 6 este considerat clasa Child-Pugh A (boală bine compensată), 7 până la 9 este clasa B (compromis funcțional semnificativ), iar 10 până la 15 este clasa C (boală decompensată). Aceste clase se corelează cu supraviețuirea pacientului la unul și doi ani: clasa A: 100 și 85%; clasa B: 80</w:t>
      </w:r>
      <w:r w:rsidR="004E2582">
        <w:rPr>
          <w:rFonts w:ascii="Times New Roman" w:eastAsia="Times New Roman" w:hAnsi="Times New Roman" w:cs="Times New Roman"/>
          <w:color w:val="232323"/>
          <w:sz w:val="24"/>
          <w:szCs w:val="24"/>
          <w:lang w:val="ro-RO" w:eastAsia="ru-RU"/>
        </w:rPr>
        <w:t xml:space="preserve"> și 60%; și clasa C: 45 și 35%.</w:t>
      </w:r>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46" w:name="_Toc177994797"/>
      <w:r w:rsidRPr="00FF5E27">
        <w:rPr>
          <w:rFonts w:ascii="Times New Roman" w:eastAsia="Times New Roman" w:hAnsi="Times New Roman" w:cs="Times New Roman"/>
          <w:b/>
          <w:spacing w:val="15"/>
          <w:sz w:val="24"/>
          <w:szCs w:val="24"/>
          <w:lang w:val="ro-RO" w:eastAsia="x-none"/>
        </w:rPr>
        <w:t>C.2.3. Conduita pacientului cu boli hepatice determinate de infecția cronică cu virusul hepatitei C</w:t>
      </w:r>
      <w:bookmarkEnd w:id="46"/>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47" w:name="_Toc205889010"/>
      <w:bookmarkStart w:id="48" w:name="_Toc331523452"/>
      <w:bookmarkStart w:id="49" w:name="_Toc331526260"/>
      <w:bookmarkStart w:id="50" w:name="_Toc331526427"/>
      <w:bookmarkStart w:id="51" w:name="_Toc27770331"/>
      <w:bookmarkStart w:id="52" w:name="_Toc177994798"/>
      <w:r w:rsidRPr="00FF5E27">
        <w:rPr>
          <w:rFonts w:ascii="Times New Roman" w:eastAsia="Times New Roman" w:hAnsi="Times New Roman" w:cs="Times New Roman"/>
          <w:b/>
          <w:spacing w:val="15"/>
          <w:sz w:val="24"/>
          <w:szCs w:val="24"/>
          <w:lang w:val="ro-RO" w:eastAsia="x-none"/>
        </w:rPr>
        <w:t>C.2.3.1. Anamnez</w:t>
      </w:r>
      <w:bookmarkEnd w:id="47"/>
      <w:bookmarkEnd w:id="48"/>
      <w:bookmarkEnd w:id="49"/>
      <w:bookmarkEnd w:id="50"/>
      <w:r w:rsidRPr="00FF5E27">
        <w:rPr>
          <w:rFonts w:ascii="Times New Roman" w:eastAsia="Times New Roman" w:hAnsi="Times New Roman" w:cs="Times New Roman"/>
          <w:b/>
          <w:spacing w:val="15"/>
          <w:sz w:val="24"/>
          <w:szCs w:val="24"/>
          <w:lang w:val="ro-RO" w:eastAsia="x-none"/>
        </w:rPr>
        <w:t>a</w:t>
      </w:r>
      <w:bookmarkStart w:id="53" w:name="_Toc205889011"/>
      <w:bookmarkStart w:id="54" w:name="_Toc331523453"/>
      <w:bookmarkStart w:id="55" w:name="_Toc331526261"/>
      <w:bookmarkStart w:id="56" w:name="_Toc331526428"/>
      <w:bookmarkEnd w:id="51"/>
      <w:bookmarkEnd w:id="52"/>
    </w:p>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4</w:t>
      </w:r>
      <w:r w:rsidRPr="00FF5E27">
        <w:rPr>
          <w:rFonts w:ascii="Times New Roman" w:eastAsia="Times New Roman" w:hAnsi="Times New Roman" w:cs="Times New Roman"/>
          <w:b/>
          <w:sz w:val="24"/>
          <w:szCs w:val="24"/>
          <w:lang w:val="ro-RO" w:eastAsia="ru-RU"/>
        </w:rPr>
        <w:t>. Anamneza pacientului cu hepatită cronică/ciroză hepatică virală C</w:t>
      </w:r>
    </w:p>
    <w:p w:rsidR="00FF5E27" w:rsidRPr="00FF5E27" w:rsidRDefault="00FF5E27" w:rsidP="00CF6FAA">
      <w:pPr>
        <w:spacing w:after="0" w:line="240" w:lineRule="auto"/>
        <w:ind w:left="360" w:right="141"/>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[3, 7, 13, 14, 19, 21]</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2840"/>
        <w:gridCol w:w="3075"/>
      </w:tblGrid>
      <w:tr w:rsidR="00FF5E27" w:rsidRPr="00D645AA" w:rsidTr="00CF6FAA">
        <w:tc>
          <w:tcPr>
            <w:tcW w:w="1780" w:type="pct"/>
            <w:shd w:val="clear" w:color="auto" w:fill="auto"/>
          </w:tcPr>
          <w:p w:rsidR="00FF5E27" w:rsidRPr="00FF5E27" w:rsidRDefault="00FF5E27" w:rsidP="00FF5E27">
            <w:pPr>
              <w:spacing w:after="0" w:line="240" w:lineRule="auto"/>
              <w:jc w:val="center"/>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Istoric detaliat al pacientului</w:t>
            </w:r>
          </w:p>
        </w:tc>
        <w:tc>
          <w:tcPr>
            <w:tcW w:w="1546" w:type="pct"/>
            <w:shd w:val="clear" w:color="auto" w:fill="auto"/>
          </w:tcPr>
          <w:p w:rsidR="00FF5E27" w:rsidRPr="00FF5E27" w:rsidRDefault="00FF5E27" w:rsidP="00FF5E27">
            <w:pPr>
              <w:spacing w:after="0" w:line="240" w:lineRule="auto"/>
              <w:jc w:val="center"/>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Evaluarea comorbidităților</w:t>
            </w:r>
          </w:p>
        </w:tc>
        <w:tc>
          <w:tcPr>
            <w:tcW w:w="1674" w:type="pct"/>
            <w:shd w:val="clear" w:color="auto" w:fill="auto"/>
          </w:tcPr>
          <w:p w:rsidR="00FF5E27" w:rsidRPr="00FF5E27" w:rsidRDefault="00FF5E27" w:rsidP="00FF5E27">
            <w:pPr>
              <w:spacing w:after="0" w:line="240" w:lineRule="auto"/>
              <w:jc w:val="center"/>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Estimarea potențialelor interacțiuni medicament-medicament</w:t>
            </w:r>
          </w:p>
        </w:tc>
      </w:tr>
      <w:tr w:rsidR="00FF5E27" w:rsidRPr="00D645AA" w:rsidTr="00CF6FAA">
        <w:tc>
          <w:tcPr>
            <w:tcW w:w="1780"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Factorii de risc de achiziție a VHC</w:t>
            </w:r>
          </w:p>
        </w:tc>
        <w:tc>
          <w:tcPr>
            <w:tcW w:w="1546"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Estimarea consumului de alcool</w:t>
            </w:r>
          </w:p>
        </w:tc>
        <w:tc>
          <w:tcPr>
            <w:tcW w:w="1674"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Notarea medicamentelor utilizate curent, cu posologia</w:t>
            </w:r>
          </w:p>
        </w:tc>
      </w:tr>
      <w:tr w:rsidR="00FF5E27" w:rsidRPr="00D645AA" w:rsidTr="00CF6FAA">
        <w:tc>
          <w:tcPr>
            <w:tcW w:w="1780"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 xml:space="preserve">Terapiile anterioare pentru infecția cu VHC </w:t>
            </w:r>
          </w:p>
        </w:tc>
        <w:tc>
          <w:tcPr>
            <w:tcW w:w="1546"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 xml:space="preserve">Consumul de droguri injectabile </w:t>
            </w:r>
          </w:p>
        </w:tc>
        <w:tc>
          <w:tcPr>
            <w:tcW w:w="1674"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 xml:space="preserve">Notarea vitaminelor și suplimentelor pe bază de plante, utilizate curent </w:t>
            </w:r>
          </w:p>
        </w:tc>
      </w:tr>
      <w:tr w:rsidR="00FF5E27" w:rsidRPr="00D645AA" w:rsidTr="00CF6FAA">
        <w:tc>
          <w:tcPr>
            <w:tcW w:w="1780"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Prezența altor boli hepatice, prezența coinfecției VHB-VHC sau HIV-VHC</w:t>
            </w:r>
          </w:p>
        </w:tc>
        <w:tc>
          <w:tcPr>
            <w:tcW w:w="1546"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 xml:space="preserve">Indicele de masă corporală </w:t>
            </w:r>
          </w:p>
        </w:tc>
        <w:tc>
          <w:tcPr>
            <w:tcW w:w="1674"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Medicamentele utilizate pe baza necesităților.</w:t>
            </w:r>
          </w:p>
        </w:tc>
      </w:tr>
      <w:tr w:rsidR="00FF5E27" w:rsidRPr="00D645AA" w:rsidTr="00CF6FAA">
        <w:tc>
          <w:tcPr>
            <w:tcW w:w="1780"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 xml:space="preserve">Severitatea bolii hepatice, stigmatele de ciroză. </w:t>
            </w:r>
          </w:p>
        </w:tc>
        <w:tc>
          <w:tcPr>
            <w:tcW w:w="1546"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Diabetul zaharat și sindromul metabolic</w:t>
            </w:r>
          </w:p>
        </w:tc>
        <w:tc>
          <w:tcPr>
            <w:tcW w:w="1674"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p>
        </w:tc>
      </w:tr>
      <w:tr w:rsidR="00FF5E27" w:rsidRPr="00D645AA" w:rsidTr="00CF6FAA">
        <w:tc>
          <w:tcPr>
            <w:tcW w:w="1780" w:type="pct"/>
            <w:shd w:val="clear" w:color="auto" w:fill="auto"/>
          </w:tcPr>
          <w:p w:rsidR="00FF5E27" w:rsidRPr="00FF5E27" w:rsidRDefault="00FF5E27" w:rsidP="00FF5E27">
            <w:pPr>
              <w:spacing w:after="0" w:line="240" w:lineRule="auto"/>
              <w:rPr>
                <w:rFonts w:ascii="Times New Roman" w:eastAsia="Times New Roman" w:hAnsi="Times New Roman" w:cs="Times New Roman"/>
                <w:bCs/>
                <w:sz w:val="24"/>
                <w:szCs w:val="24"/>
                <w:lang w:val="ro-RO" w:eastAsia="ru-RU"/>
              </w:rPr>
            </w:pPr>
            <w:r w:rsidRPr="00FF5E27">
              <w:rPr>
                <w:rFonts w:ascii="Times New Roman" w:eastAsia="Times New Roman" w:hAnsi="Times New Roman" w:cs="Times New Roman"/>
                <w:bCs/>
                <w:sz w:val="24"/>
                <w:szCs w:val="24"/>
                <w:lang w:val="ro-RO" w:eastAsia="ru-RU"/>
              </w:rPr>
              <w:t>Comorbiditățile, cu indicarea medicației curente pentru comorbidități.</w:t>
            </w:r>
          </w:p>
        </w:tc>
        <w:tc>
          <w:tcPr>
            <w:tcW w:w="1546"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 xml:space="preserve">Funcția renală: creatinina, rata estimată de filtrare glomerulară (eGFR). </w:t>
            </w:r>
          </w:p>
        </w:tc>
        <w:tc>
          <w:tcPr>
            <w:tcW w:w="1674"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p>
        </w:tc>
      </w:tr>
    </w:tbl>
    <w:p w:rsidR="00FF5E27" w:rsidRPr="00FF5E27" w:rsidRDefault="00FF5E27" w:rsidP="00FF5E27">
      <w:pPr>
        <w:spacing w:before="100"/>
        <w:rPr>
          <w:rFonts w:ascii="Times New Roman" w:eastAsia="Times New Roman" w:hAnsi="Times New Roman" w:cs="Times New Roman"/>
          <w:i/>
          <w:iCs/>
          <w:sz w:val="24"/>
          <w:szCs w:val="20"/>
          <w:lang w:val="ro-RO" w:eastAsia="ru-RU"/>
        </w:rPr>
      </w:pPr>
      <w:bookmarkStart w:id="57" w:name="_Toc27770332"/>
      <w:r w:rsidRPr="00FF5E27">
        <w:rPr>
          <w:rFonts w:ascii="Times New Roman" w:eastAsia="Times New Roman" w:hAnsi="Times New Roman" w:cs="Times New Roman"/>
          <w:b/>
          <w:bCs/>
          <w:sz w:val="24"/>
          <w:szCs w:val="24"/>
          <w:lang w:val="ro-RO" w:eastAsia="ru-RU"/>
        </w:rPr>
        <w:br w:type="page"/>
      </w:r>
      <w:bookmarkStart w:id="58" w:name="_Toc177994799"/>
      <w:r w:rsidRPr="00FF5E27">
        <w:rPr>
          <w:rFonts w:ascii="Times New Roman" w:eastAsia="Times New Roman" w:hAnsi="Times New Roman" w:cs="Calibri"/>
          <w:b/>
          <w:bCs/>
          <w:spacing w:val="15"/>
          <w:sz w:val="24"/>
          <w:szCs w:val="20"/>
          <w:lang w:val="ro-RO" w:eastAsia="x-none"/>
        </w:rPr>
        <w:lastRenderedPageBreak/>
        <w:t xml:space="preserve">C.2.3.2. </w:t>
      </w:r>
      <w:bookmarkStart w:id="59" w:name="_Hlk153395100"/>
      <w:bookmarkEnd w:id="53"/>
      <w:bookmarkEnd w:id="54"/>
      <w:bookmarkEnd w:id="55"/>
      <w:bookmarkEnd w:id="56"/>
      <w:bookmarkEnd w:id="57"/>
      <w:r w:rsidRPr="00FF5E27">
        <w:rPr>
          <w:rFonts w:ascii="Times New Roman" w:eastAsia="Times New Roman" w:hAnsi="Times New Roman" w:cs="Calibri"/>
          <w:b/>
          <w:bCs/>
          <w:spacing w:val="15"/>
          <w:sz w:val="24"/>
          <w:szCs w:val="20"/>
          <w:lang w:val="ro-RO" w:eastAsia="x-none"/>
        </w:rPr>
        <w:t>Manifestări clinice</w:t>
      </w:r>
      <w:bookmarkEnd w:id="58"/>
      <w:r w:rsidRPr="00FF5E27">
        <w:rPr>
          <w:rFonts w:ascii="Times New Roman" w:eastAsia="Times New Roman" w:hAnsi="Times New Roman" w:cs="Times New Roman"/>
          <w:color w:val="232323"/>
          <w:sz w:val="24"/>
          <w:szCs w:val="20"/>
          <w:lang w:val="ro-RO" w:eastAsia="ru-RU"/>
        </w:rPr>
        <w:t xml:space="preserve"> la pacienții cu </w:t>
      </w:r>
      <w:r w:rsidRPr="00FF5E27">
        <w:rPr>
          <w:rFonts w:ascii="Times New Roman" w:eastAsia="Times New Roman" w:hAnsi="Times New Roman" w:cs="Times New Roman"/>
          <w:sz w:val="24"/>
          <w:szCs w:val="20"/>
          <w:lang w:val="ro-RO" w:eastAsia="ru-RU"/>
        </w:rPr>
        <w:t>boli hepatice determinate de infecția cronică cu virusul hepatitei C</w:t>
      </w:r>
      <w:bookmarkEnd w:id="59"/>
    </w:p>
    <w:tbl>
      <w:tblPr>
        <w:tblW w:w="5024"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3"/>
      </w:tblGrid>
      <w:tr w:rsidR="00FF5E27" w:rsidRPr="00D645AA" w:rsidTr="00CF6FAA">
        <w:trPr>
          <w:trHeight w:val="699"/>
        </w:trPr>
        <w:tc>
          <w:tcPr>
            <w:tcW w:w="5000" w:type="pct"/>
          </w:tcPr>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b/>
                <w:sz w:val="24"/>
                <w:szCs w:val="24"/>
                <w:lang w:val="ro-RO"/>
              </w:rPr>
              <w:t>Caseta 7</w:t>
            </w:r>
            <w:r w:rsidRPr="00FF5E27">
              <w:rPr>
                <w:rFonts w:ascii="Times New Roman" w:eastAsia="Times New Roman" w:hAnsi="Times New Roman" w:cs="Times New Roman"/>
                <w:b/>
                <w:i/>
                <w:iCs/>
                <w:sz w:val="24"/>
                <w:szCs w:val="24"/>
                <w:lang w:val="ro-RO"/>
              </w:rPr>
              <w:t xml:space="preserve">. </w:t>
            </w:r>
            <w:r w:rsidRPr="00FF5E27">
              <w:rPr>
                <w:rFonts w:ascii="Times New Roman" w:eastAsia="Times New Roman" w:hAnsi="Times New Roman" w:cs="Times New Roman"/>
                <w:b/>
                <w:bCs/>
                <w:color w:val="232323"/>
                <w:sz w:val="24"/>
                <w:szCs w:val="24"/>
                <w:lang w:val="ro-RO"/>
              </w:rPr>
              <w:t xml:space="preserve">Caracteristici clinice la pacienții cu infecție cronică cu VHC </w:t>
            </w:r>
            <w:r w:rsidRPr="00FF5E27">
              <w:rPr>
                <w:rFonts w:ascii="Times New Roman" w:eastAsia="Times New Roman" w:hAnsi="Times New Roman" w:cs="Times New Roman"/>
                <w:color w:val="232323"/>
                <w:sz w:val="24"/>
                <w:szCs w:val="24"/>
                <w:shd w:val="clear" w:color="auto" w:fill="FFFFFF"/>
                <w:lang w:val="ro-RO"/>
              </w:rPr>
              <w:t>[37]</w:t>
            </w:r>
          </w:p>
          <w:p w:rsidR="00CF6FAA" w:rsidRDefault="00FF5E27" w:rsidP="00FF5E27">
            <w:pPr>
              <w:spacing w:after="0" w:line="240" w:lineRule="auto"/>
              <w:ind w:right="-590"/>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sz w:val="24"/>
                <w:szCs w:val="24"/>
                <w:shd w:val="clear" w:color="auto" w:fill="FFFFFF"/>
                <w:lang w:val="ro-RO" w:eastAsia="ru-RU"/>
              </w:rPr>
              <w:t xml:space="preserve">Mulți pacienți cu infecție cronică cu VHC sunt simptomatici, dar majoritatea simptomelor sunt </w:t>
            </w:r>
            <w:r w:rsidRPr="00FF5E27">
              <w:rPr>
                <w:rFonts w:ascii="Times New Roman" w:eastAsia="Times New Roman" w:hAnsi="Times New Roman" w:cs="Times New Roman"/>
                <w:color w:val="232323"/>
                <w:sz w:val="24"/>
                <w:szCs w:val="24"/>
                <w:shd w:val="clear" w:color="auto" w:fill="FFFFFF"/>
                <w:lang w:val="ro-RO"/>
              </w:rPr>
              <w:t xml:space="preserve">nespecifice. Chiar dacă se dezvoltă ciroza, mulți pacienți au doar simptome nespecifice. </w:t>
            </w:r>
          </w:p>
          <w:p w:rsidR="00CF6FAA" w:rsidRDefault="00FF5E27" w:rsidP="00FF5E27">
            <w:pPr>
              <w:spacing w:after="0" w:line="240" w:lineRule="auto"/>
              <w:ind w:right="-590"/>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Majoritatea persoanelor cu infecție cronică cu VHC vor avea un examen fizic normal, dar cei cu</w:t>
            </w:r>
          </w:p>
          <w:p w:rsidR="00CF6FAA" w:rsidRDefault="00FF5E27" w:rsidP="00FF5E27">
            <w:pPr>
              <w:spacing w:after="0" w:line="240" w:lineRule="auto"/>
              <w:ind w:right="-590"/>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 xml:space="preserve"> boală hepatică avansată pot avea constatări care sugerează ciroză. Persoanele cu ciroză</w:t>
            </w:r>
          </w:p>
          <w:p w:rsidR="00CF6FAA" w:rsidRDefault="00FF5E27" w:rsidP="00FF5E27">
            <w:pPr>
              <w:spacing w:after="0" w:line="240" w:lineRule="auto"/>
              <w:ind w:right="-590"/>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 xml:space="preserve"> decompensată au complicații legate de ciroză (de ex</w:t>
            </w:r>
            <w:r w:rsidR="00CF6FAA">
              <w:rPr>
                <w:rFonts w:ascii="Times New Roman" w:eastAsia="Times New Roman" w:hAnsi="Times New Roman" w:cs="Times New Roman"/>
                <w:color w:val="232323"/>
                <w:sz w:val="24"/>
                <w:szCs w:val="24"/>
                <w:shd w:val="clear" w:color="auto" w:fill="FFFFFF"/>
                <w:lang w:val="ro-RO"/>
              </w:rPr>
              <w:t xml:space="preserve">emplu, icter, ascită,hemoragie </w:t>
            </w:r>
            <w:r w:rsidRPr="00FF5E27">
              <w:rPr>
                <w:rFonts w:ascii="Times New Roman" w:eastAsia="Times New Roman" w:hAnsi="Times New Roman" w:cs="Times New Roman"/>
                <w:color w:val="232323"/>
                <w:sz w:val="24"/>
                <w:szCs w:val="24"/>
                <w:shd w:val="clear" w:color="auto" w:fill="FFFFFF"/>
                <w:lang w:val="ro-RO"/>
              </w:rPr>
              <w:t>vari</w:t>
            </w:r>
            <w:r w:rsidR="00CF6FAA">
              <w:rPr>
                <w:rFonts w:ascii="Times New Roman" w:eastAsia="Times New Roman" w:hAnsi="Times New Roman" w:cs="Times New Roman"/>
                <w:color w:val="232323"/>
                <w:sz w:val="24"/>
                <w:szCs w:val="24"/>
                <w:shd w:val="clear" w:color="auto" w:fill="FFFFFF"/>
                <w:lang w:val="ro-RO"/>
              </w:rPr>
              <w:t>-</w:t>
            </w:r>
          </w:p>
          <w:p w:rsidR="00FF5E27" w:rsidRPr="00FF5E27" w:rsidRDefault="00FF5E27" w:rsidP="00FF5E27">
            <w:pPr>
              <w:spacing w:after="0" w:line="240" w:lineRule="auto"/>
              <w:ind w:right="-590"/>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ceală, encefalopatie hepatică sau un scor Child-Pugh de 10 până la 15).</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Aproximativ 5 până la 30% dintre persoanele infectate cronic dezvoltă ciroză pe o perioadă de 20 până la 30 de ani, deși au fost descrise rate mai lente și mai rapide de progresie. Chiar dacă se dezvoltă ciroza, mulți pacienți au doar simptome nespecifice. Ratele anuale de progresie către ciroză cresc odată cu vârsta înaintată în momentul dobândirii VHC și cu durata mai lungă a infecției, dar relația nu este liniară [37].</w:t>
            </w:r>
            <w:r w:rsidRPr="00FF5E27">
              <w:rPr>
                <w:rFonts w:ascii="Times New Roman" w:eastAsia="Times New Roman" w:hAnsi="Times New Roman" w:cs="Times New Roman"/>
                <w:sz w:val="24"/>
                <w:szCs w:val="24"/>
                <w:lang w:val="ro-RO"/>
              </w:rPr>
              <w:t xml:space="preserve"> </w:t>
            </w:r>
          </w:p>
          <w:p w:rsidR="00FF5E27" w:rsidRPr="00FF5E27" w:rsidRDefault="00FF5E27" w:rsidP="00461D8F">
            <w:pPr>
              <w:numPr>
                <w:ilvl w:val="0"/>
                <w:numId w:val="46"/>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b/>
                <w:bCs/>
                <w:color w:val="232323"/>
                <w:sz w:val="24"/>
                <w:szCs w:val="24"/>
                <w:lang w:val="ro-RO"/>
              </w:rPr>
              <w:t xml:space="preserve">Simptome generalizate: </w:t>
            </w:r>
            <w:r w:rsidRPr="00FF5E27">
              <w:rPr>
                <w:rFonts w:ascii="Times New Roman" w:eastAsia="Times New Roman" w:hAnsi="Times New Roman" w:cs="Times New Roman"/>
                <w:color w:val="232323"/>
                <w:sz w:val="24"/>
                <w:szCs w:val="24"/>
                <w:lang w:val="ro-RO"/>
              </w:rPr>
              <w:t xml:space="preserve">Cele mai frecvente acuze sunt oboseala și tulburările de somn; alte simptome includ greață, diaree, dureri abdominale, anorexie, mialgie, artralgie, slăbiciune și scădere în greutate </w:t>
            </w:r>
            <w:r w:rsidRPr="00FF5E27">
              <w:rPr>
                <w:rFonts w:ascii="Times New Roman" w:eastAsia="Times New Roman" w:hAnsi="Times New Roman" w:cs="Times New Roman"/>
                <w:color w:val="000000"/>
                <w:sz w:val="24"/>
                <w:szCs w:val="24"/>
                <w:lang w:val="ro-RO"/>
              </w:rPr>
              <w:t>[1</w:t>
            </w:r>
            <w:r w:rsidRPr="00FF5E27">
              <w:rPr>
                <w:rFonts w:ascii="Times New Roman" w:eastAsia="Times New Roman" w:hAnsi="Times New Roman" w:cs="Times New Roman"/>
                <w:color w:val="232323"/>
                <w:sz w:val="24"/>
                <w:szCs w:val="24"/>
                <w:lang w:val="ro-RO"/>
              </w:rPr>
              <w:t>], simptome neuropsihiatrice (de ex., depresia și anxietatea).</w:t>
            </w:r>
          </w:p>
          <w:p w:rsidR="00FF5E27" w:rsidRPr="00FF5E27" w:rsidRDefault="00CF6FAA"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rPr>
            </w:pPr>
            <w:r>
              <w:rPr>
                <w:rFonts w:ascii="Times New Roman" w:eastAsia="Times New Roman" w:hAnsi="Times New Roman" w:cs="Times New Roman"/>
                <w:color w:val="232323"/>
                <w:sz w:val="24"/>
                <w:szCs w:val="24"/>
                <w:shd w:val="clear" w:color="auto" w:fill="FFFFFF"/>
                <w:lang w:val="ro-RO"/>
              </w:rPr>
              <w:t>Afectări</w:t>
            </w:r>
            <w:r w:rsidR="00FF5E27" w:rsidRPr="00FF5E27">
              <w:rPr>
                <w:rFonts w:ascii="Times New Roman" w:eastAsia="Times New Roman" w:hAnsi="Times New Roman" w:cs="Times New Roman"/>
                <w:color w:val="232323"/>
                <w:sz w:val="24"/>
                <w:szCs w:val="24"/>
                <w:shd w:val="clear" w:color="auto" w:fill="FFFFFF"/>
                <w:lang w:val="ro-RO"/>
              </w:rPr>
              <w:t xml:space="preserve"> cognitive se atestă la pacienții cu VHC, independent de severitatea bolii hepatice [8-11]. </w:t>
            </w:r>
          </w:p>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 xml:space="preserve">Ocazional, pacienții prezintă constatări extrahepatice specifice care sunt direct legate de infecția cu VHC. </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b/>
                <w:color w:val="232323"/>
                <w:sz w:val="24"/>
                <w:szCs w:val="24"/>
                <w:shd w:val="clear" w:color="auto" w:fill="FFFFFF"/>
                <w:lang w:val="ro-RO"/>
              </w:rPr>
              <w:t xml:space="preserve">Afecțiuni (manifestări) extrahepatice legate de infecția cu VHC </w:t>
            </w:r>
            <w:r w:rsidRPr="00FF5E27">
              <w:rPr>
                <w:rFonts w:ascii="Times New Roman" w:eastAsia="Times New Roman" w:hAnsi="Times New Roman" w:cs="Times New Roman"/>
                <w:color w:val="232323"/>
                <w:sz w:val="24"/>
                <w:szCs w:val="24"/>
                <w:shd w:val="clear" w:color="auto" w:fill="FFFFFF"/>
                <w:lang w:val="ro-RO"/>
              </w:rPr>
              <w:t>[37]</w:t>
            </w:r>
          </w:p>
          <w:p w:rsidR="00FF5E27" w:rsidRPr="00FF5E27" w:rsidRDefault="00FF5E27" w:rsidP="00461D8F">
            <w:pPr>
              <w:numPr>
                <w:ilvl w:val="0"/>
                <w:numId w:val="119"/>
              </w:numPr>
              <w:shd w:val="clear" w:color="auto" w:fill="FFFFFF"/>
              <w:spacing w:before="100"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Infecția cronică cu VHC este asociată cu o gamă largă de afecțiuni clinice, altele decât boala hepatică. Calitatea dovezilor pentru aceste asocieri extrahepatice este variabilă.</w:t>
            </w:r>
          </w:p>
          <w:p w:rsidR="00FF5E27" w:rsidRPr="00FF5E27" w:rsidRDefault="00FF5E27" w:rsidP="00461D8F">
            <w:pPr>
              <w:numPr>
                <w:ilvl w:val="0"/>
                <w:numId w:val="119"/>
              </w:numPr>
              <w:shd w:val="clear" w:color="auto" w:fill="FFFFFF"/>
              <w:spacing w:before="100"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Se crede că manifestările extrahepatice ale VHC includ (dar nu se limitează la) vasculită crioglobulinemică, boală renală cu sau fără crioglobulinemie, tulburări ale pielii incluzând vasculită leucocitoclastică cutanată și porfirie cutanată tardivă, diabet zaharat și sindrom metabolic, limfoame și afecțiuni autoimune.</w:t>
            </w:r>
          </w:p>
          <w:p w:rsidR="00FF5E27" w:rsidRPr="00FF5E27" w:rsidRDefault="00FF5E27" w:rsidP="00461D8F">
            <w:pPr>
              <w:numPr>
                <w:ilvl w:val="0"/>
                <w:numId w:val="119"/>
              </w:numPr>
              <w:shd w:val="clear" w:color="auto" w:fill="FFFFFF"/>
              <w:spacing w:before="100"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Tratamentul cu succes al VHC: (1) are beneficii asupra unor afecțiuni extrahepatice, cum ar fi vasculita crioglobulinemică și boala renală și (2) reduce riscul unor manifestări extrahepatice, cum ar fi limfomul și diabetul.</w:t>
            </w:r>
          </w:p>
          <w:p w:rsidR="00FF5E27" w:rsidRPr="00FF5E27" w:rsidRDefault="00FF5E27" w:rsidP="00461D8F">
            <w:pPr>
              <w:numPr>
                <w:ilvl w:val="0"/>
                <w:numId w:val="119"/>
              </w:numPr>
              <w:shd w:val="clear" w:color="auto" w:fill="FFFFFF"/>
              <w:spacing w:before="100"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Clinicienii trebuie să cunoască potențialul acestor afecțiuni în rândul persoanelor cu infecție cu VHC, și trebuie să ia în considerare VHC ca o potențială etiologie a acestor afecțiuni la persoanele cu statut necunoscut de infecție cu VHC.</w:t>
            </w:r>
          </w:p>
          <w:p w:rsidR="00FF5E27" w:rsidRPr="00FF5E27" w:rsidRDefault="00FF5E27" w:rsidP="00461D8F">
            <w:pPr>
              <w:numPr>
                <w:ilvl w:val="0"/>
                <w:numId w:val="119"/>
              </w:numPr>
              <w:shd w:val="clear" w:color="auto" w:fill="FFFFFF"/>
              <w:spacing w:before="100" w:after="0" w:line="240" w:lineRule="auto"/>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232323"/>
                <w:sz w:val="24"/>
                <w:szCs w:val="24"/>
                <w:shd w:val="clear" w:color="auto" w:fill="FFFFFF"/>
                <w:lang w:val="ro-RO"/>
              </w:rPr>
              <w:t>Pentru persoanele cu infecție cronică cu VHC, dezvoltarea unei manifestări extrahepatice legate de VHC este de obicei considerată o indicație urgentă pentru tratamentul VHC.</w:t>
            </w:r>
          </w:p>
        </w:tc>
      </w:tr>
    </w:tbl>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iCs/>
          <w:caps/>
          <w:spacing w:val="15"/>
          <w:sz w:val="24"/>
          <w:szCs w:val="24"/>
          <w:lang w:val="ro-RO" w:eastAsia="x-none"/>
        </w:rPr>
      </w:pPr>
      <w:bookmarkStart w:id="60" w:name="_Toc205889012"/>
      <w:bookmarkStart w:id="61" w:name="_Toc331523454"/>
      <w:bookmarkStart w:id="62" w:name="_Toc331526262"/>
      <w:bookmarkStart w:id="63" w:name="_Toc331526429"/>
      <w:bookmarkStart w:id="64" w:name="_Toc177994800"/>
      <w:r w:rsidRPr="00FF5E27">
        <w:rPr>
          <w:rFonts w:ascii="Times New Roman" w:eastAsia="Times New Roman" w:hAnsi="Times New Roman" w:cs="Times New Roman"/>
          <w:b/>
          <w:iCs/>
          <w:caps/>
          <w:spacing w:val="15"/>
          <w:sz w:val="24"/>
          <w:szCs w:val="24"/>
          <w:lang w:val="ro-RO" w:eastAsia="x-none"/>
        </w:rPr>
        <w:t>C.2.3.3</w:t>
      </w:r>
      <w:r w:rsidRPr="00FF5E27">
        <w:rPr>
          <w:rFonts w:ascii="Times New Roman" w:eastAsia="Times New Roman" w:hAnsi="Times New Roman" w:cs="Times New Roman"/>
          <w:b/>
          <w:iCs/>
          <w:spacing w:val="15"/>
          <w:sz w:val="24"/>
          <w:szCs w:val="24"/>
          <w:lang w:val="ro-RO" w:eastAsia="x-none"/>
        </w:rPr>
        <w:t>. Investigaţii paraclinice</w:t>
      </w:r>
      <w:bookmarkEnd w:id="60"/>
      <w:bookmarkEnd w:id="61"/>
      <w:bookmarkEnd w:id="62"/>
      <w:bookmarkEnd w:id="63"/>
      <w:bookmarkEnd w:id="64"/>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color w:val="333333"/>
          <w:spacing w:val="15"/>
          <w:sz w:val="24"/>
          <w:szCs w:val="24"/>
          <w:shd w:val="clear" w:color="auto" w:fill="EDECEB"/>
          <w:lang w:val="ro-RO" w:eastAsia="x-none"/>
        </w:rPr>
      </w:pPr>
      <w:bookmarkStart w:id="65" w:name="_Toc331523455"/>
      <w:bookmarkStart w:id="66" w:name="_Toc331526263"/>
      <w:bookmarkStart w:id="67" w:name="_Toc331526430"/>
      <w:bookmarkStart w:id="68" w:name="_Toc177994801"/>
      <w:r w:rsidRPr="00FF5E27">
        <w:rPr>
          <w:rFonts w:ascii="Times New Roman" w:eastAsia="Times New Roman" w:hAnsi="Times New Roman" w:cs="Times New Roman"/>
          <w:b/>
          <w:caps/>
          <w:spacing w:val="5"/>
          <w:sz w:val="24"/>
          <w:szCs w:val="24"/>
          <w:lang w:val="ro-RO" w:eastAsia="x-none"/>
        </w:rPr>
        <w:t xml:space="preserve">C.2.3.3.1. </w:t>
      </w:r>
      <w:bookmarkEnd w:id="65"/>
      <w:bookmarkEnd w:id="66"/>
      <w:bookmarkEnd w:id="67"/>
      <w:r w:rsidRPr="00FF5E27">
        <w:rPr>
          <w:rFonts w:ascii="Times New Roman" w:eastAsia="Times New Roman" w:hAnsi="Times New Roman" w:cs="Times New Roman"/>
          <w:b/>
          <w:spacing w:val="15"/>
          <w:sz w:val="24"/>
          <w:szCs w:val="24"/>
          <w:lang w:val="ro-RO" w:eastAsia="x-none"/>
        </w:rPr>
        <w:t>Teste de diagnosticare pentru infecţia cu virusul hepatitei C</w:t>
      </w:r>
      <w:bookmarkEnd w:id="68"/>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F5E27" w:rsidRPr="00D645AA" w:rsidTr="00FF5E27">
        <w:tc>
          <w:tcPr>
            <w:tcW w:w="10009"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bookmarkStart w:id="69" w:name="_Toc205889015"/>
            <w:bookmarkStart w:id="70" w:name="_Toc331523457"/>
            <w:bookmarkStart w:id="71" w:name="_Toc331526265"/>
            <w:bookmarkStart w:id="72" w:name="_Toc331526432"/>
            <w:r w:rsidRPr="00FF5E27">
              <w:rPr>
                <w:rFonts w:ascii="Times New Roman" w:eastAsia="Times New Roman" w:hAnsi="Times New Roman" w:cs="Times New Roman"/>
                <w:b/>
                <w:bCs/>
                <w:sz w:val="24"/>
                <w:szCs w:val="24"/>
                <w:shd w:val="clear" w:color="auto" w:fill="FFFFFF"/>
                <w:lang w:val="ro-RO" w:eastAsia="ru-RU"/>
              </w:rPr>
              <w:t>Caseta 8. Diagnosticul hepatitei virale C recent dobândite, a</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b/>
                <w:bCs/>
                <w:sz w:val="24"/>
                <w:szCs w:val="24"/>
                <w:lang w:val="ro-RO" w:eastAsia="ru-RU"/>
              </w:rPr>
              <w:t xml:space="preserve">hepatitei virale C cronice și a reinfectării cu VHC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47"/>
              </w:numPr>
              <w:shd w:val="clear" w:color="auto" w:fill="FFFFFF"/>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Toți pacienții cu suspecție de infecție cu VHC dobândită recent </w:t>
            </w:r>
            <w:r w:rsidRPr="00FF5E27">
              <w:rPr>
                <w:rFonts w:ascii="Times New Roman" w:eastAsia="Times New Roman" w:hAnsi="Times New Roman" w:cs="Times New Roman"/>
                <w:i/>
                <w:iCs/>
                <w:sz w:val="24"/>
                <w:szCs w:val="24"/>
                <w:lang w:val="ro-RO"/>
              </w:rPr>
              <w:t>de novo</w:t>
            </w:r>
            <w:r w:rsidRPr="00FF5E27">
              <w:rPr>
                <w:rFonts w:ascii="Times New Roman" w:eastAsia="Times New Roman" w:hAnsi="Times New Roman" w:cs="Times New Roman"/>
                <w:sz w:val="24"/>
                <w:szCs w:val="24"/>
                <w:lang w:val="ro-RO"/>
              </w:rPr>
              <w:t xml:space="preserve"> trebuie testați pentru anticorpi anti-HCV și ARN-HCV în ser sau plasmă (A1).</w:t>
            </w:r>
          </w:p>
          <w:p w:rsidR="00FF5E27" w:rsidRPr="00FF5E27" w:rsidRDefault="00FF5E27" w:rsidP="00461D8F">
            <w:pPr>
              <w:numPr>
                <w:ilvl w:val="0"/>
                <w:numId w:val="47"/>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lastRenderedPageBreak/>
              <w:t xml:space="preserve">Pacienții cu anticorpi anti-HCV pozitivi, ARN-HCV-negativi, cu suspecție de infecție cu VHC dobândită recent </w:t>
            </w:r>
            <w:r w:rsidRPr="00FF5E27">
              <w:rPr>
                <w:rFonts w:ascii="Times New Roman" w:eastAsia="Times New Roman" w:hAnsi="Times New Roman" w:cs="Times New Roman"/>
                <w:i/>
                <w:iCs/>
                <w:sz w:val="24"/>
                <w:szCs w:val="24"/>
                <w:lang w:val="ro-RO"/>
              </w:rPr>
              <w:t>de novo</w:t>
            </w:r>
            <w:r w:rsidRPr="00FF5E27">
              <w:rPr>
                <w:rFonts w:ascii="Times New Roman" w:eastAsia="Times New Roman" w:hAnsi="Times New Roman" w:cs="Times New Roman"/>
                <w:sz w:val="24"/>
                <w:szCs w:val="24"/>
                <w:lang w:val="ro-RO"/>
              </w:rPr>
              <w:t xml:space="preserve"> trebuie retestați pentru ARN-HCV, cu 12 și 24 de săptămâni mai târziu pentru a confirma clearance-ul definitiv (A1).</w:t>
            </w:r>
          </w:p>
          <w:p w:rsidR="00FF5E27" w:rsidRPr="00FF5E27" w:rsidRDefault="00FF5E27" w:rsidP="00461D8F">
            <w:pPr>
              <w:numPr>
                <w:ilvl w:val="0"/>
                <w:numId w:val="47"/>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Toți pacienții cu suspecție de infecție cronică cu VHC trebuie testați pentru anticorpi anti-HCV în ser sau plasmă cu un test de diagnostic de primă linie (A1).</w:t>
            </w:r>
          </w:p>
          <w:p w:rsidR="00FF5E27" w:rsidRPr="00FF5E27" w:rsidRDefault="00FF5E27" w:rsidP="00461D8F">
            <w:pPr>
              <w:numPr>
                <w:ilvl w:val="0"/>
                <w:numId w:val="47"/>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Dacă anticorpii anti-HCV sunt detectați la pacienții cu suspecție de infecție cronică cu VHC, trebuie determinat ARN-HCV (A1). ARN-HCV trebuie determinat în ser sau plasmă printr-o metodă moleculară sensibilă, cu o limită inferioară de cuantificare ≤15 UI/ml (A1). </w:t>
            </w:r>
          </w:p>
          <w:p w:rsidR="00FF5E27" w:rsidRPr="00FF5E27" w:rsidRDefault="00FF5E27" w:rsidP="00461D8F">
            <w:pPr>
              <w:numPr>
                <w:ilvl w:val="0"/>
                <w:numId w:val="47"/>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Reinfecția cu VHC poate apărea după eliminarea VHC spontană sau indusă de tratament, atunci când a avut loc reexpunerea la VHC la cei cu factori de risc pentru infecție. </w:t>
            </w:r>
          </w:p>
          <w:p w:rsidR="00FF5E27" w:rsidRPr="00FF5E27" w:rsidRDefault="00FF5E27" w:rsidP="00461D8F">
            <w:pPr>
              <w:numPr>
                <w:ilvl w:val="0"/>
                <w:numId w:val="47"/>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Reinfecția cu VHC trebuie suspectată în cazul reapariției ARN-HCV după un răspuns viral susținut (SVR) la indivizi cu factori de risc pentru infecție și trebuie confirmată prin demonstrarea că infecția este cauzată de un genotip diferit sau, folosind </w:t>
            </w:r>
            <w:r w:rsidRPr="00FF5E27">
              <w:rPr>
                <w:rFonts w:ascii="Times New Roman" w:eastAsia="Times New Roman" w:hAnsi="Times New Roman" w:cs="Times New Roman"/>
                <w:sz w:val="24"/>
                <w:szCs w:val="24"/>
                <w:u w:val="single"/>
                <w:lang w:val="ro-RO"/>
              </w:rPr>
              <w:t>secvențierea</w:t>
            </w:r>
            <w:r w:rsidRPr="00FF5E27">
              <w:rPr>
                <w:rFonts w:ascii="Times New Roman" w:eastAsia="Times New Roman" w:hAnsi="Times New Roman" w:cs="Times New Roman"/>
                <w:sz w:val="24"/>
                <w:szCs w:val="24"/>
                <w:lang w:val="ro-RO"/>
              </w:rPr>
              <w:t xml:space="preserve"> urmată de analiză filogenetică, printr-o tulpină îndepărtată înrudită a aceluiași genotip de la infecția inițială (A1).</w:t>
            </w:r>
          </w:p>
          <w:p w:rsidR="00FF5E27" w:rsidRPr="00FF5E27" w:rsidRDefault="00FF5E27" w:rsidP="00461D8F">
            <w:pPr>
              <w:numPr>
                <w:ilvl w:val="0"/>
                <w:numId w:val="47"/>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Anticorpii anti-HCV trebuie determinați în ser sau plasmă </w:t>
            </w:r>
            <w:r w:rsidRPr="00FF5E27">
              <w:rPr>
                <w:rFonts w:ascii="Times New Roman" w:eastAsia="Times New Roman" w:hAnsi="Times New Roman" w:cs="Times New Roman"/>
                <w:sz w:val="24"/>
                <w:szCs w:val="24"/>
                <w:u w:val="single"/>
                <w:lang w:val="ro-RO"/>
              </w:rPr>
              <w:t>prin test imunoenzimatic</w:t>
            </w:r>
            <w:r w:rsidRPr="00FF5E27">
              <w:rPr>
                <w:rFonts w:ascii="Times New Roman" w:eastAsia="Times New Roman" w:hAnsi="Times New Roman" w:cs="Times New Roman"/>
                <w:sz w:val="24"/>
                <w:szCs w:val="24"/>
                <w:lang w:val="ro-RO"/>
              </w:rPr>
              <w:t>* (A1).</w:t>
            </w:r>
          </w:p>
          <w:p w:rsidR="00FF5E27" w:rsidRPr="00FF5E27" w:rsidRDefault="00FF5E27" w:rsidP="00461D8F">
            <w:pPr>
              <w:numPr>
                <w:ilvl w:val="0"/>
                <w:numId w:val="47"/>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sz w:val="24"/>
                <w:szCs w:val="24"/>
                <w:lang w:val="ro-RO"/>
              </w:rPr>
              <w:t>ARN-HCV trebuie determinat în ser sau plasmă printr-o metodă moleculară sensibilă, cu o limită inferioară de cuantificare ≤15 UI/ml (A1).</w:t>
            </w:r>
          </w:p>
          <w:p w:rsidR="00FF5E27" w:rsidRPr="00FF5E27" w:rsidRDefault="00FF5E27" w:rsidP="00461D8F">
            <w:pPr>
              <w:numPr>
                <w:ilvl w:val="0"/>
                <w:numId w:val="47"/>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shd w:val="clear" w:color="auto" w:fill="FFFFFF"/>
                <w:lang w:val="ro-RO"/>
              </w:rPr>
              <w:t>Diagnosticul de infecție cronică cu VHC se stabilește, de obicei, la un pacient cu un test de anticorpi anti-HCV</w:t>
            </w:r>
            <w:r w:rsidRPr="00FF5E27">
              <w:rPr>
                <w:rFonts w:ascii="Times New Roman" w:eastAsia="Times New Roman" w:hAnsi="Times New Roman" w:cs="Times New Roman"/>
                <w:sz w:val="24"/>
                <w:szCs w:val="24"/>
                <w:lang w:val="ro-RO"/>
              </w:rPr>
              <w:t xml:space="preserve"> </w:t>
            </w:r>
            <w:r w:rsidRPr="00FF5E27">
              <w:rPr>
                <w:rFonts w:ascii="Times New Roman" w:eastAsia="Times New Roman" w:hAnsi="Times New Roman" w:cs="Times New Roman"/>
                <w:color w:val="232323"/>
                <w:sz w:val="24"/>
                <w:szCs w:val="24"/>
                <w:shd w:val="clear" w:color="auto" w:fill="FFFFFF"/>
                <w:lang w:val="ro-RO"/>
              </w:rPr>
              <w:t>reactiv și un test molecular pozitiv care detectează prezența ARN-HCV. De obicei, pacienții care au atât anticorpi anti-HCV reactiv, cât și ARN-HCV detectabil au infecție cronică, deși acestea pot fi observate și la unii pacienți infectați acut.</w:t>
            </w:r>
          </w:p>
        </w:tc>
      </w:tr>
    </w:tbl>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b/>
          <w:i/>
          <w:color w:val="232323"/>
          <w:sz w:val="24"/>
          <w:szCs w:val="24"/>
          <w:shd w:val="clear" w:color="auto" w:fill="FFFFFF"/>
          <w:lang w:val="ro-RO"/>
        </w:rPr>
        <w:lastRenderedPageBreak/>
        <w:t>Notă:</w:t>
      </w:r>
      <w:r w:rsidRPr="00FF5E27">
        <w:rPr>
          <w:rFonts w:ascii="Times New Roman" w:eastAsia="Times New Roman" w:hAnsi="Times New Roman" w:cs="Times New Roman"/>
          <w:color w:val="232323"/>
          <w:sz w:val="24"/>
          <w:szCs w:val="24"/>
          <w:shd w:val="clear" w:color="auto" w:fill="FFFFFF"/>
          <w:lang w:val="ro-RO"/>
        </w:rPr>
        <w:t xml:space="preserve"> * </w:t>
      </w:r>
      <w:bookmarkStart w:id="73" w:name="_Hlk150713507"/>
      <w:r w:rsidRPr="00FF5E27">
        <w:rPr>
          <w:rFonts w:ascii="Times New Roman" w:eastAsia="Times New Roman" w:hAnsi="Times New Roman" w:cs="Times New Roman"/>
          <w:color w:val="232323"/>
          <w:sz w:val="24"/>
          <w:szCs w:val="24"/>
          <w:shd w:val="clear" w:color="auto" w:fill="FFFFFF"/>
          <w:lang w:val="ro-RO"/>
        </w:rPr>
        <w:t>Testul standard pentru a detecta anticorpii anti-HCV în ser și plasmă este un test imun, care poate fi legat de diferite metode de semnalizare a unui test pozitiv, inclusiv o reacție enzimatică (EIA, numit și test imunosorbent legat de enzime sau ELISA) sau emisie de lumină (test imunochimiluminiscent). Testul EIA-HCV de a treia generație este cel mai frecvent utilizat test de anticorpi pentru a depista inițial infecția cu VHC. Testul are sensibilitate și specificitate ridicate, dar nu face distincție între infecția cu hepatită virală C actuală și cea rezolvată [37].</w:t>
      </w:r>
      <w:bookmarkEnd w:id="73"/>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74" w:name="_Toc27770333"/>
      <w:bookmarkStart w:id="75" w:name="_Toc177994802"/>
      <w:r w:rsidRPr="00FF5E27">
        <w:rPr>
          <w:rFonts w:ascii="Times New Roman" w:eastAsia="Times New Roman" w:hAnsi="Times New Roman" w:cs="Times New Roman"/>
          <w:b/>
          <w:caps/>
          <w:spacing w:val="5"/>
          <w:sz w:val="24"/>
          <w:szCs w:val="24"/>
          <w:lang w:val="ro-RO" w:eastAsia="x-none"/>
        </w:rPr>
        <w:t xml:space="preserve">C.2.3.3.2. </w:t>
      </w:r>
      <w:bookmarkStart w:id="76" w:name="_Toc331523458"/>
      <w:bookmarkStart w:id="77" w:name="_Toc331526266"/>
      <w:bookmarkStart w:id="78" w:name="_Toc331526433"/>
      <w:bookmarkStart w:id="79" w:name="_Toc205889016"/>
      <w:bookmarkEnd w:id="69"/>
      <w:bookmarkEnd w:id="70"/>
      <w:bookmarkEnd w:id="71"/>
      <w:bookmarkEnd w:id="72"/>
      <w:bookmarkEnd w:id="74"/>
      <w:r w:rsidRPr="00FF5E27">
        <w:rPr>
          <w:rFonts w:ascii="Times New Roman" w:eastAsia="Times New Roman" w:hAnsi="Times New Roman" w:cs="Times New Roman"/>
          <w:b/>
          <w:spacing w:val="15"/>
          <w:sz w:val="24"/>
          <w:szCs w:val="24"/>
          <w:lang w:val="ro-RO" w:eastAsia="x-none"/>
        </w:rPr>
        <w:t>Interpretarea rezultatelor testărilor pentru infecţia cu VHC și acțiunile ulterioare</w:t>
      </w:r>
      <w:bookmarkEnd w:id="75"/>
    </w:p>
    <w:p w:rsidR="00FF5E27" w:rsidRPr="00FF5E27" w:rsidRDefault="00FF5E27" w:rsidP="00FF5E27">
      <w:pPr>
        <w:spacing w:after="0" w:line="240" w:lineRule="auto"/>
        <w:ind w:right="-188"/>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5</w:t>
      </w:r>
      <w:r w:rsidRPr="00FF5E27">
        <w:rPr>
          <w:rFonts w:ascii="Times New Roman" w:eastAsia="Times New Roman" w:hAnsi="Times New Roman" w:cs="Times New Roman"/>
          <w:b/>
          <w:sz w:val="24"/>
          <w:szCs w:val="24"/>
          <w:lang w:val="ro-RO" w:eastAsia="ru-RU"/>
        </w:rPr>
        <w:t xml:space="preserve">. </w:t>
      </w:r>
      <w:r w:rsidRPr="00FF5E27">
        <w:rPr>
          <w:rFonts w:ascii="Times New Roman" w:eastAsia="Times New Roman" w:hAnsi="Times New Roman" w:cs="Times New Roman"/>
          <w:b/>
          <w:iCs/>
          <w:sz w:val="24"/>
          <w:szCs w:val="24"/>
          <w:lang w:val="ro-RO" w:eastAsia="ru-RU"/>
        </w:rPr>
        <w:t>Interpretarea rezultatelor testărilor pentru infecţia cu VHC și acțiunile ulterioare</w:t>
      </w:r>
      <w:r w:rsidRPr="00FF5E27">
        <w:rPr>
          <w:rFonts w:ascii="Times New Roman" w:eastAsia="Times New Roman" w:hAnsi="Times New Roman" w:cs="Times New Roman"/>
          <w:b/>
          <w:bCs/>
          <w:sz w:val="24"/>
          <w:szCs w:val="24"/>
          <w:lang w:val="ro-RO" w:eastAsia="ru-RU"/>
        </w:rPr>
        <w:t xml:space="preserve"> </w:t>
      </w:r>
    </w:p>
    <w:p w:rsidR="00FF5E27" w:rsidRPr="00FF5E27" w:rsidRDefault="00875399" w:rsidP="00FF5E27">
      <w:pPr>
        <w:spacing w:after="0" w:line="240" w:lineRule="auto"/>
        <w:jc w:val="both"/>
        <w:rPr>
          <w:rFonts w:ascii="Times New Roman" w:eastAsia="Times New Roman" w:hAnsi="Times New Roman" w:cs="Times New Roman"/>
          <w:sz w:val="24"/>
          <w:szCs w:val="24"/>
          <w:lang w:val="ro-RO" w:eastAsia="ru-RU"/>
        </w:rPr>
      </w:pPr>
      <w:hyperlink r:id="rId34" w:history="1">
        <w:r w:rsidR="00FF5E27" w:rsidRPr="00FF5E27">
          <w:rPr>
            <w:rFonts w:ascii="Times New Roman" w:eastAsia="Times New Roman" w:hAnsi="Times New Roman" w:cs="Times New Roman"/>
            <w:color w:val="0000FF"/>
            <w:sz w:val="24"/>
            <w:szCs w:val="24"/>
            <w:u w:val="single"/>
            <w:lang w:val="ro-RO" w:eastAsia="ru-RU"/>
          </w:rPr>
          <w:t>https://www.cdc.gov/hepatitis/hcv/pdfs/hcv_graph.pdf</w:t>
        </w:r>
      </w:hyperlink>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2011"/>
        <w:gridCol w:w="5218"/>
      </w:tblGrid>
      <w:tr w:rsidR="00FF5E27" w:rsidRPr="00FF5E27" w:rsidTr="00915F05">
        <w:tc>
          <w:tcPr>
            <w:tcW w:w="1074"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Rezultat testare</w:t>
            </w:r>
          </w:p>
        </w:tc>
        <w:tc>
          <w:tcPr>
            <w:tcW w:w="1092"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Interpretare</w:t>
            </w:r>
          </w:p>
        </w:tc>
        <w:tc>
          <w:tcPr>
            <w:tcW w:w="2834"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Acţiunile următoare</w:t>
            </w:r>
          </w:p>
        </w:tc>
      </w:tr>
      <w:tr w:rsidR="00FF5E27" w:rsidRPr="00D645AA" w:rsidTr="00915F05">
        <w:tc>
          <w:tcPr>
            <w:tcW w:w="1074"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Anticorp anti-HCV: nereactiv</w:t>
            </w:r>
          </w:p>
        </w:tc>
        <w:tc>
          <w:tcPr>
            <w:tcW w:w="1092"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Nu au fost detectați anticorpi anti-HCV</w:t>
            </w:r>
          </w:p>
        </w:tc>
        <w:tc>
          <w:tcPr>
            <w:tcW w:w="2834"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Eșantionul poate fi raportat ca nereactiv pentru anticorpul anti-HCV. Nu este necesară nicio acțiune suplimentară. În anumite situații* este necesară testează ARN-HCV.</w:t>
            </w:r>
          </w:p>
        </w:tc>
      </w:tr>
      <w:tr w:rsidR="00FF5E27" w:rsidRPr="00D645AA" w:rsidTr="00915F05">
        <w:tc>
          <w:tcPr>
            <w:tcW w:w="1074"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Anticorp anti-HCV: reactiv</w:t>
            </w:r>
          </w:p>
        </w:tc>
        <w:tc>
          <w:tcPr>
            <w:tcW w:w="1092"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Infecție prezumtivă cu VHC</w:t>
            </w:r>
          </w:p>
        </w:tc>
        <w:tc>
          <w:tcPr>
            <w:tcW w:w="2834"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Se face test ARN-HCV, cantitativ, pentru identificarea infecției curente.</w:t>
            </w:r>
          </w:p>
        </w:tc>
      </w:tr>
      <w:tr w:rsidR="00FF5E27" w:rsidRPr="00D645AA" w:rsidTr="00915F05">
        <w:tc>
          <w:tcPr>
            <w:tcW w:w="1074"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Anticorpi anti-HCV reactivi, </w:t>
            </w:r>
          </w:p>
          <w:p w:rsidR="00FF5E27" w:rsidRPr="00FF5E27" w:rsidRDefault="00FF5E27" w:rsidP="00FF5E27">
            <w:pPr>
              <w:spacing w:after="0" w:line="240" w:lineRule="auto"/>
              <w:ind w:right="-238"/>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detectat ARN-HCV</w:t>
            </w:r>
          </w:p>
        </w:tc>
        <w:tc>
          <w:tcPr>
            <w:tcW w:w="1092"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Un rezultat pozitiv al ARN-HCV este o </w:t>
            </w:r>
            <w:r w:rsidRPr="00FF5E27">
              <w:rPr>
                <w:rFonts w:ascii="Times New Roman" w:eastAsia="Times New Roman" w:hAnsi="Times New Roman" w:cs="Times New Roman"/>
                <w:color w:val="232323"/>
                <w:sz w:val="24"/>
                <w:szCs w:val="24"/>
                <w:shd w:val="clear" w:color="auto" w:fill="FFFFFF"/>
                <w:lang w:val="ro-RO" w:eastAsia="ru-RU"/>
              </w:rPr>
              <w:lastRenderedPageBreak/>
              <w:t>dovadă a infecției curente cu VHC.</w:t>
            </w:r>
          </w:p>
        </w:tc>
        <w:tc>
          <w:tcPr>
            <w:tcW w:w="2834"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lastRenderedPageBreak/>
              <w:t xml:space="preserve">Oferiți persoanei testare, consiliere adecvată și referiți persoana testată la îngrijire și tratament. </w:t>
            </w:r>
          </w:p>
        </w:tc>
      </w:tr>
      <w:tr w:rsidR="00FF5E27" w:rsidRPr="00D645AA" w:rsidTr="00915F05">
        <w:tc>
          <w:tcPr>
            <w:tcW w:w="1074"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Anticorp</w:t>
            </w:r>
            <w:r w:rsidR="00CF6FAA">
              <w:rPr>
                <w:rFonts w:ascii="Times New Roman" w:eastAsia="Times New Roman" w:hAnsi="Times New Roman" w:cs="Times New Roman"/>
                <w:sz w:val="24"/>
                <w:szCs w:val="24"/>
                <w:lang w:val="ro-RO" w:eastAsia="ru-RU"/>
              </w:rPr>
              <w:t>i</w:t>
            </w:r>
            <w:r w:rsidRPr="00FF5E27">
              <w:rPr>
                <w:rFonts w:ascii="Times New Roman" w:eastAsia="Times New Roman" w:hAnsi="Times New Roman" w:cs="Times New Roman"/>
                <w:sz w:val="24"/>
                <w:szCs w:val="24"/>
                <w:lang w:val="ro-RO" w:eastAsia="ru-RU"/>
              </w:rPr>
              <w:t xml:space="preserve"> anti-HCV reactiv, </w:t>
            </w:r>
          </w:p>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ARN-HCV nu a fost detectat (este absent)</w:t>
            </w:r>
          </w:p>
        </w:tc>
        <w:tc>
          <w:tcPr>
            <w:tcW w:w="1092" w:type="pct"/>
            <w:shd w:val="clear" w:color="auto" w:fill="auto"/>
          </w:tcPr>
          <w:p w:rsidR="00FF5E27" w:rsidRPr="00FF5E27" w:rsidRDefault="00FF5E27" w:rsidP="00FF5E27">
            <w:pPr>
              <w:spacing w:after="0" w:line="240" w:lineRule="auto"/>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Se confirmă în esență absența infecției cronice cu VHC. Testele fals negative pentru ARN sunt neobișnuite. Un test de anticorpi reactivi în cazul ARN-HCV negativ este, în general, un rezultat </w:t>
            </w:r>
            <w:r w:rsidRPr="00FF5E27">
              <w:rPr>
                <w:rFonts w:ascii="Times New Roman" w:eastAsia="Times New Roman" w:hAnsi="Times New Roman" w:cs="Times New Roman"/>
                <w:i/>
                <w:iCs/>
                <w:color w:val="232323"/>
                <w:sz w:val="24"/>
                <w:szCs w:val="24"/>
                <w:shd w:val="clear" w:color="auto" w:fill="FFFFFF"/>
                <w:lang w:val="ro-RO" w:eastAsia="ru-RU"/>
              </w:rPr>
              <w:t>fals pozitiv</w:t>
            </w:r>
            <w:r w:rsidRPr="00FF5E27">
              <w:rPr>
                <w:rFonts w:ascii="Times New Roman" w:eastAsia="Times New Roman" w:hAnsi="Times New Roman" w:cs="Times New Roman"/>
                <w:color w:val="232323"/>
                <w:sz w:val="24"/>
                <w:szCs w:val="24"/>
                <w:shd w:val="clear" w:color="auto" w:fill="FFFFFF"/>
                <w:lang w:val="ro-RO" w:eastAsia="ru-RU"/>
              </w:rPr>
              <w:t xml:space="preserve"> sau reflectă o infecție trecută, eliminată. </w:t>
            </w:r>
          </w:p>
        </w:tc>
        <w:tc>
          <w:tcPr>
            <w:tcW w:w="2834"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Nu este necesară nicio acțiune suplimentară în majoritatea cazurilor.</w:t>
            </w: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Dacă se dorește distincția între pozitivitatea adevărată și pozitivitate falsă biologică pentru anticorpii anti-HCV și dacă proba este reactivă în mod repetat la testul inițial, se testează cu un alt test de anticorpi anti-HCV.</w:t>
            </w: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Urmăriți cu testarea ARN-HCV și consiliere adecvată, în anumite situații.**</w:t>
            </w:r>
          </w:p>
        </w:tc>
      </w:tr>
    </w:tbl>
    <w:p w:rsidR="00FF5E27" w:rsidRPr="00FF5E27" w:rsidRDefault="00FF5E27" w:rsidP="00FF5E27">
      <w:pPr>
        <w:spacing w:after="0" w:line="240" w:lineRule="auto"/>
        <w:jc w:val="both"/>
        <w:rPr>
          <w:rFonts w:ascii="Times New Roman" w:eastAsia="Times New Roman" w:hAnsi="Times New Roman" w:cs="Times New Roman"/>
          <w:b/>
          <w:i/>
          <w:iCs/>
          <w:sz w:val="24"/>
          <w:szCs w:val="24"/>
          <w:lang w:val="ro-RO" w:eastAsia="ru-RU"/>
        </w:rPr>
      </w:pPr>
      <w:r w:rsidRPr="00FF5E27">
        <w:rPr>
          <w:rFonts w:ascii="Times New Roman" w:eastAsia="Times New Roman" w:hAnsi="Times New Roman" w:cs="Times New Roman"/>
          <w:b/>
          <w:i/>
          <w:iCs/>
          <w:sz w:val="24"/>
          <w:szCs w:val="24"/>
          <w:lang w:val="ro-RO" w:eastAsia="ru-RU"/>
        </w:rPr>
        <w:t>Notă:</w:t>
      </w:r>
    </w:p>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*Pacienții care fac hemodializă, sunt imunocompromiși sever sau sunt suspectați de a avea o infecție acută cu VHC pot să nu aibă anticorpi anti-HCV detectabili în ciuda prezenței infecției; la astfel de pacienți, testarea ARN-HCV în ciuda unui test de anticorpi nereactivi este importantă pentru a exclude infecția.</w:t>
      </w:r>
    </w:p>
    <w:p w:rsidR="00FF5E27" w:rsidRPr="00FF5E27" w:rsidRDefault="00FF5E27" w:rsidP="00FF5E27">
      <w:pPr>
        <w:spacing w:after="0" w:line="240" w:lineRule="auto"/>
        <w:jc w:val="both"/>
        <w:rPr>
          <w:rFonts w:ascii="Times New Roman" w:eastAsia="Times New Roman" w:hAnsi="Times New Roman" w:cs="Times New Roman"/>
          <w:bCs/>
          <w:sz w:val="24"/>
          <w:szCs w:val="24"/>
          <w:lang w:val="ro-RO" w:eastAsia="ru-RU"/>
        </w:rPr>
      </w:pPr>
      <w:r w:rsidRPr="00FF5E27">
        <w:rPr>
          <w:rFonts w:ascii="Times New Roman" w:eastAsia="Times New Roman" w:hAnsi="Times New Roman" w:cs="Times New Roman"/>
          <w:bCs/>
          <w:sz w:val="24"/>
          <w:szCs w:val="24"/>
          <w:lang w:val="ro-RO" w:eastAsia="ru-RU"/>
        </w:rPr>
        <w:t>** Dacă persoana testată este suspectată că a fost expusă la VHC în ultimele 6 luni sau are dovezi clinice de boală HVC C sau dacă există îngrijorări cu privire la manipularea sau depozitarea probei de testat.</w:t>
      </w:r>
      <w:bookmarkStart w:id="80" w:name="_Toc27770334"/>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caps/>
          <w:spacing w:val="5"/>
          <w:sz w:val="24"/>
          <w:szCs w:val="24"/>
          <w:lang w:val="ro-RO" w:eastAsia="x-none"/>
        </w:rPr>
      </w:pPr>
      <w:bookmarkStart w:id="81" w:name="_Toc177994803"/>
      <w:r w:rsidRPr="00FF5E27">
        <w:rPr>
          <w:rFonts w:ascii="Times New Roman" w:eastAsia="Times New Roman" w:hAnsi="Times New Roman" w:cs="Times New Roman"/>
          <w:b/>
          <w:spacing w:val="5"/>
          <w:sz w:val="24"/>
          <w:szCs w:val="24"/>
          <w:lang w:val="ro-RO" w:eastAsia="x-none"/>
        </w:rPr>
        <w:t>C.2.3.4. Evaluarea pre-terapeutică</w:t>
      </w:r>
      <w:bookmarkEnd w:id="81"/>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7"/>
      </w:tblGrid>
      <w:tr w:rsidR="00FF5E27" w:rsidRPr="00D645AA" w:rsidTr="00835C46">
        <w:trPr>
          <w:trHeight w:val="982"/>
        </w:trPr>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bookmarkStart w:id="82" w:name="_Hlk151043907"/>
            <w:r w:rsidRPr="00FF5E27">
              <w:rPr>
                <w:rFonts w:ascii="Times New Roman" w:eastAsia="Times New Roman" w:hAnsi="Times New Roman" w:cs="Times New Roman"/>
                <w:b/>
                <w:bCs/>
                <w:spacing w:val="5"/>
                <w:sz w:val="24"/>
                <w:szCs w:val="24"/>
                <w:lang w:val="ro-RO" w:eastAsia="ru-RU"/>
              </w:rPr>
              <w:t xml:space="preserve">Caseta 9. Evaluarea pre-terapeutică a persoanelor cu infecție cronică cu VHC </w:t>
            </w:r>
            <w:r w:rsidRPr="00FF5E27">
              <w:rPr>
                <w:rFonts w:ascii="Times New Roman" w:eastAsia="Times New Roman" w:hAnsi="Times New Roman" w:cs="Times New Roman"/>
                <w:caps/>
                <w:spacing w:val="5"/>
                <w:sz w:val="24"/>
                <w:szCs w:val="24"/>
                <w:lang w:val="ro-RO" w:eastAsia="ru-RU"/>
              </w:rPr>
              <w:t>[5, 27]</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Contribuția comorbidităților la progresia bolii hepatice trebuie evaluată și implementate măsuri corective adecvate (A1).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Consumul de alcool și abuzul de substanțe trebuie să fie evaluate și cuantificate, cu consiliere specifică acordată (A1).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Trebuie identificate manifestările extrahepatice ale infecției cu VHC (A1).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Funcția renală, inclusiv creatinina și eGFR, se efectuiază la necesitate (A1).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Toți pacienții trebuie testați pentru infecția anterioară sau actuală cu VHB (</w:t>
            </w:r>
            <w:r w:rsidRPr="00FF5E27">
              <w:rPr>
                <w:rFonts w:ascii="Times New Roman" w:eastAsia="Times New Roman" w:hAnsi="Times New Roman" w:cs="Times New Roman"/>
                <w:color w:val="333333"/>
                <w:sz w:val="24"/>
                <w:szCs w:val="24"/>
                <w:lang w:val="ro-RO"/>
              </w:rPr>
              <w:t>HBsAg, anti-HBc și anti-HBs)</w:t>
            </w:r>
            <w:r w:rsidRPr="00FF5E27">
              <w:rPr>
                <w:rFonts w:ascii="Times New Roman" w:eastAsia="Times New Roman" w:hAnsi="Times New Roman" w:cs="Times New Roman"/>
                <w:sz w:val="24"/>
                <w:szCs w:val="24"/>
                <w:lang w:val="ro-RO" w:eastAsia="ru-RU"/>
              </w:rPr>
              <w:t xml:space="preserve">, pentru coinfecția cu HIV (imunotest antigen-anticorp HIV-1/2) și pentru imunitatea la VHA (antiVHA IgG) (A1). Vaccinarea HBV trebuie propusă pacienților care nu sunt imuni (A1). </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Severitatea bolii hepatice trebuie evaluată înainte de tratament (A1). Ciroza trebuie identificată, deoarece unele regimuri de tratament trebuie ajustate si supravegherea post-tratament pentru HCC este obligatorie (A1).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Supravegherea post-tratament pentru HCC trebuie efectuată și la pacienții cu fibroză avansată (scor METAVIR F3) (B1).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Stadiul de fibroză trebuie evaluat inițial prin metode non-invazive, măsurarea rigidității ficatului sau biomarkeri serici, și/sau APRI și FIB-4 care sunt panouri de biomarkeri ieftine și fiabile (A1).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Biopsia hepatică trebuie rezervată pentru cazurile în care există incertitudine sau </w:t>
            </w:r>
            <w:r w:rsidRPr="00FF5E27">
              <w:rPr>
                <w:rFonts w:ascii="Times New Roman" w:eastAsia="Times New Roman" w:hAnsi="Times New Roman" w:cs="Times New Roman"/>
                <w:sz w:val="24"/>
                <w:szCs w:val="24"/>
                <w:lang w:val="ro-RO" w:eastAsia="ru-RU"/>
              </w:rPr>
              <w:lastRenderedPageBreak/>
              <w:t>potențiale etiologii suplimentare (A1).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Metodele non-invazive nu trebuie utilizate pentru evaluarea stadiului fibrozei după terapie, deoarece nu sunt de încredere în acest sens de setare (B1).</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Prezența viremiei, reflectată de prezența ARN-HCV trebuie demonstrată înainte de inițierea terapiei (A1). </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w:t>
            </w:r>
            <w:r w:rsidRPr="00FF5E27">
              <w:rPr>
                <w:rFonts w:ascii="Times New Roman" w:eastAsia="Times New Roman" w:hAnsi="Times New Roman" w:cs="Times New Roman"/>
                <w:color w:val="333333"/>
                <w:sz w:val="24"/>
                <w:szCs w:val="24"/>
                <w:lang w:val="ro-RO"/>
              </w:rPr>
              <w:t>rebuie obținut un genotip și un subtip VHC dacă regimul de tratament planificat nu este un regim pangenotipic [30].</w:t>
            </w:r>
            <w:r w:rsidRPr="00FF5E27">
              <w:rPr>
                <w:rFonts w:ascii="Times New Roman" w:eastAsia="Times New Roman" w:hAnsi="Times New Roman" w:cs="Times New Roman"/>
                <w:sz w:val="24"/>
                <w:szCs w:val="24"/>
                <w:lang w:val="ro-RO" w:eastAsia="ru-RU"/>
              </w:rPr>
              <w:t xml:space="preserve"> </w:t>
            </w:r>
          </w:p>
          <w:p w:rsidR="00FF5E27" w:rsidRPr="00FF5E27" w:rsidRDefault="00FF5E27" w:rsidP="00461D8F">
            <w:pPr>
              <w:numPr>
                <w:ilvl w:val="0"/>
                <w:numId w:val="66"/>
              </w:numPr>
              <w:spacing w:before="100" w:after="0" w:line="240" w:lineRule="auto"/>
              <w:ind w:right="62"/>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Cuantificarea și detectarea ARN-HCV în ser sau plasmă trebuie făcută printr-un test sensibil cu o limită inferioară de cuantificare ≤ 15 UI/ml (A1).</w:t>
            </w:r>
          </w:p>
        </w:tc>
      </w:tr>
    </w:tbl>
    <w:bookmarkEnd w:id="80"/>
    <w:p w:rsid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lastRenderedPageBreak/>
        <w:t xml:space="preserve"> </w:t>
      </w:r>
      <w:bookmarkEnd w:id="82"/>
      <w:r w:rsidRPr="00FF5E27">
        <w:rPr>
          <w:rFonts w:ascii="Times New Roman" w:eastAsia="Times New Roman" w:hAnsi="Times New Roman" w:cs="Times New Roman"/>
          <w:b/>
          <w:bCs/>
          <w:i/>
          <w:iCs/>
          <w:sz w:val="24"/>
          <w:szCs w:val="24"/>
          <w:lang w:val="ro-RO" w:eastAsia="ru-RU"/>
        </w:rPr>
        <w:t>Abrevieri:</w:t>
      </w:r>
      <w:r w:rsidRPr="00FF5E27">
        <w:rPr>
          <w:rFonts w:ascii="Times New Roman" w:eastAsia="Times New Roman" w:hAnsi="Times New Roman" w:cs="Times New Roman"/>
          <w:sz w:val="24"/>
          <w:szCs w:val="24"/>
          <w:lang w:val="ro-RO" w:eastAsia="ru-RU"/>
        </w:rPr>
        <w:t xml:space="preserve"> eGFR, rata estimată de filtrare glomerulară; VHA, virusul hepatitei A; VHB, virusul hepatitei B; HCC, carcinom hepatocelular; VHC, virusul hepatitei C; HIV, virusul imunodeficienței umane.</w:t>
      </w:r>
    </w:p>
    <w:p w:rsidR="00835C46" w:rsidRPr="00FF5E27" w:rsidRDefault="00835C46" w:rsidP="00FF5E27">
      <w:pPr>
        <w:spacing w:after="0" w:line="240" w:lineRule="auto"/>
        <w:jc w:val="both"/>
        <w:rPr>
          <w:rFonts w:ascii="Times New Roman" w:eastAsia="Times New Roman" w:hAnsi="Times New Roman" w:cs="Times New Roman"/>
          <w:b/>
          <w:sz w:val="24"/>
          <w:szCs w:val="24"/>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915F05">
        <w:tc>
          <w:tcPr>
            <w:tcW w:w="9464"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232323"/>
                <w:sz w:val="24"/>
                <w:szCs w:val="24"/>
                <w:lang w:val="ro-RO" w:eastAsia="ru-RU"/>
              </w:rPr>
              <w:t>Caseta 10.</w:t>
            </w:r>
            <w:r w:rsidRPr="00FF5E27">
              <w:rPr>
                <w:rFonts w:ascii="Times New Roman" w:eastAsia="Times New Roman" w:hAnsi="Times New Roman" w:cs="Times New Roman"/>
                <w:color w:val="232323"/>
                <w:sz w:val="24"/>
                <w:szCs w:val="24"/>
                <w:lang w:val="ro-RO" w:eastAsia="ru-RU"/>
              </w:rPr>
              <w:t xml:space="preserve"> </w:t>
            </w:r>
            <w:r w:rsidRPr="00FF5E27">
              <w:rPr>
                <w:rFonts w:ascii="Times New Roman" w:eastAsia="Times New Roman" w:hAnsi="Times New Roman" w:cs="Times New Roman"/>
                <w:b/>
                <w:bCs/>
                <w:color w:val="232323"/>
                <w:sz w:val="24"/>
                <w:szCs w:val="24"/>
                <w:lang w:val="ro-RO" w:eastAsia="ru-RU"/>
              </w:rPr>
              <w:t xml:space="preserve">Determinarea genotipului VHC pre-tratament </w:t>
            </w:r>
            <w:r w:rsidRPr="00FF5E27">
              <w:rPr>
                <w:rFonts w:ascii="Times New Roman" w:eastAsia="Times New Roman" w:hAnsi="Times New Roman" w:cs="Times New Roman"/>
                <w:color w:val="232323"/>
                <w:sz w:val="24"/>
                <w:szCs w:val="24"/>
                <w:lang w:val="ro-RO" w:eastAsia="ru-RU"/>
              </w:rPr>
              <w:t>[27]</w:t>
            </w:r>
          </w:p>
          <w:p w:rsidR="00FF5E27" w:rsidRPr="00FF5E27" w:rsidRDefault="00FF5E27" w:rsidP="00461D8F">
            <w:pPr>
              <w:numPr>
                <w:ilvl w:val="0"/>
                <w:numId w:val="121"/>
              </w:numPr>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Tratamentul cu regimuri pangenotipice, inclusiv sofosbuvirum+daclatasvirum*, sofosbuvirum+velpatasvirum* sau glecaprevirum + pibrentasvirum*, poate fi iniţiat fără cunoașterea genotipului și subtipului cu o mare probabilitate de succes (A1).</w:t>
            </w:r>
          </w:p>
          <w:p w:rsidR="00FF5E27" w:rsidRPr="00FF5E27" w:rsidRDefault="00FF5E27" w:rsidP="00461D8F">
            <w:pPr>
              <w:numPr>
                <w:ilvl w:val="0"/>
                <w:numId w:val="121"/>
              </w:numPr>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Este util să se determine genotipul și subtipul VHC când nu este disponibil tratamentul cu regimuri pangenotipice, doar regimuri non-pangenotipice (A1).</w:t>
            </w:r>
          </w:p>
          <w:p w:rsidR="00FF5E27" w:rsidRPr="00FF5E27" w:rsidRDefault="00FF5E27" w:rsidP="00461D8F">
            <w:pPr>
              <w:numPr>
                <w:ilvl w:val="0"/>
                <w:numId w:val="121"/>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Emigranții din țările în care se știe că subtipurile VHC distincte, mai puțin susceptibile la tratament sunt predominante, pot beneficia de determinarea genotipului și subtipului prin intermediul populației sau secvențierii profunde a NS5B sau a unei alte regiuni de codificare, urmată de analiză filogenetică, pentru a identifica subtipuri de VHC rezistente în mod inerent la inhibitorii NS5A (cum ar fi subtipurile 1l, 4r, 3b, 3g, 6u, 6v și alte subtipuri nedeterminate) pentru a evita eșecul tratamentului (B1).</w:t>
            </w:r>
          </w:p>
          <w:p w:rsidR="00FF5E27" w:rsidRPr="00FF5E27" w:rsidRDefault="00FF5E27" w:rsidP="00461D8F">
            <w:pPr>
              <w:numPr>
                <w:ilvl w:val="0"/>
                <w:numId w:val="121"/>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În zonele geografice sau setările în care subtipurile VHC rezistente la inhibitorii NS5A (cum ar fi subtipurile 1l, 4r, 3b, 3g, 6u, 6v și alte subtipuri nedeterminate) sunt prezente, genotipul și subtipul VHC trebuie să fie determinat ori de câte ori este posibil prin intermediul populației sau secvențierii profunde a NS5B sau a unei alte regiuni de codificare urmată de analiză filogenetică (B2).</w:t>
            </w:r>
          </w:p>
        </w:tc>
      </w:tr>
    </w:tbl>
    <w:p w:rsidR="00FF5E27" w:rsidRPr="00FF5E27" w:rsidRDefault="00FF5E27" w:rsidP="00915F05">
      <w:pPr>
        <w:spacing w:after="0" w:line="240" w:lineRule="auto"/>
        <w:ind w:right="141"/>
        <w:jc w:val="both"/>
        <w:rPr>
          <w:rFonts w:ascii="Times New Roman" w:eastAsia="Times New Roman" w:hAnsi="Times New Roman" w:cs="Times New Roman"/>
          <w:bCs/>
          <w:sz w:val="24"/>
          <w:szCs w:val="24"/>
          <w:lang w:val="ro-RO" w:eastAsia="ru-RU"/>
        </w:rPr>
      </w:pPr>
    </w:p>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bookmarkStart w:id="83" w:name="_Hlk28324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915F05">
        <w:tc>
          <w:tcPr>
            <w:tcW w:w="9464" w:type="dxa"/>
            <w:shd w:val="clear" w:color="auto" w:fill="auto"/>
          </w:tcPr>
          <w:p w:rsidR="00FF5E27" w:rsidRPr="00FF5E27" w:rsidRDefault="00835C46" w:rsidP="00FF5E27">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b/>
                <w:sz w:val="24"/>
                <w:szCs w:val="24"/>
                <w:lang w:val="ro-RO" w:eastAsia="ru-RU"/>
              </w:rPr>
              <w:t>Caseta 11</w:t>
            </w:r>
            <w:r w:rsidR="00FF5E27" w:rsidRPr="00FF5E27">
              <w:rPr>
                <w:rFonts w:ascii="Times New Roman" w:eastAsia="Times New Roman" w:hAnsi="Times New Roman" w:cs="Times New Roman"/>
                <w:b/>
                <w:sz w:val="24"/>
                <w:szCs w:val="24"/>
                <w:lang w:val="ro-RO" w:eastAsia="ru-RU"/>
              </w:rPr>
              <w:t xml:space="preserve">. Evaluarea interacțiunilor medicament-medicament înainte de începerea terapiei </w:t>
            </w:r>
            <w:r w:rsidR="00FF5E27" w:rsidRPr="00FF5E27">
              <w:rPr>
                <w:rFonts w:ascii="Times New Roman" w:eastAsia="Times New Roman" w:hAnsi="Times New Roman" w:cs="Times New Roman"/>
                <w:bCs/>
                <w:sz w:val="24"/>
                <w:szCs w:val="24"/>
                <w:lang w:val="ro-RO" w:eastAsia="ru-RU"/>
              </w:rPr>
              <w:t>[27, 51]</w:t>
            </w:r>
          </w:p>
          <w:p w:rsidR="00FF5E27" w:rsidRPr="00FF5E27" w:rsidRDefault="00FF5E27" w:rsidP="00461D8F">
            <w:pPr>
              <w:numPr>
                <w:ilvl w:val="0"/>
                <w:numId w:val="74"/>
              </w:numPr>
              <w:spacing w:before="100" w:after="0" w:line="240" w:lineRule="auto"/>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Înainte de a iniția tratamentul cu un medicament DAA, complet și detaliat trebuie de efectuat anamneza, inclusiv toate medicamentele prescrise, medicamente fără prescripție medicală, preparate din plante și vitamine și orice consum ilicit de droguri discutat și documentat (A1).</w:t>
            </w:r>
          </w:p>
          <w:p w:rsidR="00FF5E27" w:rsidRPr="00FF5E27" w:rsidRDefault="00FF5E27" w:rsidP="00461D8F">
            <w:pPr>
              <w:numPr>
                <w:ilvl w:val="0"/>
                <w:numId w:val="74"/>
              </w:numPr>
              <w:spacing w:before="100" w:after="0" w:line="240" w:lineRule="auto"/>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Cs/>
                <w:sz w:val="24"/>
                <w:szCs w:val="24"/>
                <w:lang w:val="ro-RO" w:eastAsia="ru-RU"/>
              </w:rPr>
              <w:t>Interacțiunea medicament-medicament reprezintă un element-cheie în tratarea pacienților infectați cu HIV-VHC. O atenție deosebită trebuie acordată medicamentelor anti-HIV care sunt contraindicate, nu sunt recomandate sau necesită ajustarea dozei cu regimuri speciale de DAA (A1).</w:t>
            </w:r>
          </w:p>
          <w:p w:rsidR="00FF5E27" w:rsidRPr="00FF5E27" w:rsidRDefault="00FF5E27" w:rsidP="00461D8F">
            <w:pPr>
              <w:numPr>
                <w:ilvl w:val="0"/>
                <w:numId w:val="74"/>
              </w:numPr>
              <w:spacing w:before="100" w:after="0" w:line="240" w:lineRule="auto"/>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Pre-tratamentul programarea poate fi folosită pentru a raționaliza prescrierea.</w:t>
            </w:r>
          </w:p>
          <w:p w:rsidR="00FF5E27" w:rsidRPr="00FF5E27" w:rsidRDefault="00FF5E27" w:rsidP="00461D8F">
            <w:pPr>
              <w:numPr>
                <w:ilvl w:val="0"/>
                <w:numId w:val="74"/>
              </w:numPr>
              <w:spacing w:before="100" w:after="0" w:line="240" w:lineRule="auto"/>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Consultați </w:t>
            </w:r>
            <w:r w:rsidRPr="00FF5E27">
              <w:rPr>
                <w:rFonts w:ascii="Times New Roman" w:eastAsia="Times New Roman" w:hAnsi="Times New Roman" w:cs="Times New Roman"/>
                <w:b/>
                <w:bCs/>
                <w:i/>
                <w:iCs/>
                <w:sz w:val="24"/>
                <w:szCs w:val="24"/>
                <w:lang w:val="ro-RO" w:eastAsia="ru-RU"/>
              </w:rPr>
              <w:t>Anexa 4</w:t>
            </w:r>
            <w:r w:rsidRPr="00FF5E27">
              <w:rPr>
                <w:rFonts w:ascii="Times New Roman" w:eastAsia="Times New Roman" w:hAnsi="Times New Roman" w:cs="Times New Roman"/>
                <w:sz w:val="24"/>
                <w:szCs w:val="24"/>
                <w:lang w:val="ro-RO" w:eastAsia="ru-RU"/>
              </w:rPr>
              <w:t xml:space="preserve"> și </w:t>
            </w:r>
            <w:hyperlink r:id="rId35" w:history="1">
              <w:r w:rsidRPr="00FF5E27">
                <w:rPr>
                  <w:rFonts w:ascii="Times New Roman" w:eastAsia="Times New Roman" w:hAnsi="Times New Roman" w:cs="Times New Roman"/>
                  <w:color w:val="0000FF"/>
                  <w:sz w:val="24"/>
                  <w:szCs w:val="24"/>
                  <w:u w:val="single"/>
                  <w:lang w:val="ro-RO" w:eastAsia="ru-RU"/>
                </w:rPr>
                <w:t>www.hep-druginteractions.org</w:t>
              </w:r>
            </w:hyperlink>
          </w:p>
        </w:tc>
      </w:tr>
    </w:tbl>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p>
    <w:p w:rsidR="00D645AA" w:rsidRDefault="00D645AA" w:rsidP="00FF5E27">
      <w:pPr>
        <w:spacing w:after="0" w:line="240" w:lineRule="auto"/>
        <w:jc w:val="both"/>
        <w:rPr>
          <w:rFonts w:ascii="Times New Roman" w:eastAsia="Times New Roman" w:hAnsi="Times New Roman" w:cs="Times New Roman"/>
          <w:b/>
          <w:sz w:val="24"/>
          <w:szCs w:val="24"/>
          <w:lang w:val="ro-RO" w:eastAsia="ru-RU"/>
        </w:rPr>
      </w:pPr>
    </w:p>
    <w:p w:rsidR="00D645AA" w:rsidRDefault="00D645AA" w:rsidP="00FF5E27">
      <w:pPr>
        <w:spacing w:after="0" w:line="240" w:lineRule="auto"/>
        <w:jc w:val="both"/>
        <w:rPr>
          <w:rFonts w:ascii="Times New Roman" w:eastAsia="Times New Roman" w:hAnsi="Times New Roman" w:cs="Times New Roman"/>
          <w:b/>
          <w:sz w:val="24"/>
          <w:szCs w:val="24"/>
          <w:lang w:val="ro-RO" w:eastAsia="ru-RU"/>
        </w:rPr>
      </w:pPr>
    </w:p>
    <w:p w:rsidR="00D645AA" w:rsidRDefault="00D645AA" w:rsidP="00FF5E27">
      <w:pPr>
        <w:spacing w:after="0" w:line="240" w:lineRule="auto"/>
        <w:jc w:val="both"/>
        <w:rPr>
          <w:rFonts w:ascii="Times New Roman" w:eastAsia="Times New Roman" w:hAnsi="Times New Roman" w:cs="Times New Roman"/>
          <w:b/>
          <w:sz w:val="24"/>
          <w:szCs w:val="24"/>
          <w:lang w:val="ro-RO" w:eastAsia="ru-RU"/>
        </w:rPr>
      </w:pPr>
    </w:p>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lastRenderedPageBreak/>
        <w:t>C.2.3.4.1. Evaluare și stadializare a fibrozei hepatice legată de VHC</w:t>
      </w:r>
    </w:p>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p>
    <w:p w:rsidR="00FF5E27" w:rsidRPr="00FF5E27" w:rsidRDefault="00FF5E27" w:rsidP="00FF5E27">
      <w:pPr>
        <w:spacing w:after="0" w:line="240" w:lineRule="auto"/>
        <w:jc w:val="both"/>
        <w:rPr>
          <w:rFonts w:ascii="Times New Roman" w:eastAsia="Times New Roman" w:hAnsi="Times New Roman" w:cs="Times New Roman"/>
          <w:i/>
          <w:iCs/>
          <w:vanish/>
          <w:sz w:val="24"/>
          <w:szCs w:val="24"/>
          <w:lang w:val="ro-RO" w:eastAsia="ru-RU"/>
        </w:rPr>
      </w:pPr>
      <w:r w:rsidRPr="00FF5E27">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6</w:t>
      </w:r>
      <w:r w:rsidRPr="00FF5E27">
        <w:rPr>
          <w:rFonts w:ascii="Times New Roman" w:eastAsia="Times New Roman" w:hAnsi="Times New Roman" w:cs="Times New Roman"/>
          <w:b/>
          <w:sz w:val="24"/>
          <w:szCs w:val="24"/>
          <w:lang w:val="ro-RO" w:eastAsia="ru-RU"/>
        </w:rPr>
        <w:t xml:space="preserve">. Lista metodelor de verificare pentru evaluarea pre-tratament a persoanelor cu infecție cu virusul hepatitei C și scopul evaluării </w:t>
      </w:r>
      <w:r w:rsidRPr="00FF5E27">
        <w:rPr>
          <w:rFonts w:ascii="Times New Roman" w:eastAsia="Times New Roman" w:hAnsi="Times New Roman" w:cs="Times New Roman"/>
          <w:sz w:val="24"/>
          <w:szCs w:val="24"/>
          <w:lang w:val="ro-RO" w:eastAsia="ru-RU"/>
        </w:rPr>
        <w:t>[4, 9, 17, 18, 41]</w:t>
      </w:r>
    </w:p>
    <w:p w:rsidR="00FF5E27" w:rsidRPr="00FF5E27" w:rsidRDefault="00FF5E27" w:rsidP="00FF5E27">
      <w:pPr>
        <w:spacing w:after="0" w:line="240" w:lineRule="auto"/>
        <w:jc w:val="both"/>
        <w:rPr>
          <w:rFonts w:ascii="Times New Roman" w:eastAsia="Times New Roman" w:hAnsi="Times New Roman" w:cs="Times New Roman"/>
          <w:i/>
          <w:iCs/>
          <w:sz w:val="24"/>
          <w:szCs w:val="24"/>
          <w:lang w:val="ro-RO"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5600"/>
      </w:tblGrid>
      <w:tr w:rsidR="00FF5E27" w:rsidRPr="00FF5E27" w:rsidTr="00915F05">
        <w:tc>
          <w:tcPr>
            <w:tcW w:w="1951" w:type="pct"/>
            <w:shd w:val="clear" w:color="auto" w:fill="auto"/>
          </w:tcPr>
          <w:bookmarkEnd w:id="83"/>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Metode de verificare pentru evaluarea pre-tratament</w:t>
            </w:r>
          </w:p>
        </w:tc>
        <w:tc>
          <w:tcPr>
            <w:tcW w:w="3049" w:type="pct"/>
            <w:shd w:val="clear" w:color="auto" w:fill="auto"/>
            <w:vAlign w:val="bottom"/>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Scopul evaluării</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Teste specifice pentru VHC:</w:t>
            </w:r>
          </w:p>
          <w:p w:rsidR="00FF5E27" w:rsidRPr="00FF5E27" w:rsidRDefault="00FF5E27" w:rsidP="00461D8F">
            <w:pPr>
              <w:numPr>
                <w:ilvl w:val="0"/>
                <w:numId w:val="25"/>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Anti-HCV (serologie)</w:t>
            </w:r>
          </w:p>
          <w:p w:rsidR="00FF5E27" w:rsidRPr="00FF5E27" w:rsidRDefault="00FF5E27" w:rsidP="00461D8F">
            <w:pPr>
              <w:numPr>
                <w:ilvl w:val="0"/>
                <w:numId w:val="25"/>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ARN-HCV test cantitativ prin PCR</w:t>
            </w:r>
          </w:p>
          <w:p w:rsidR="00FF5E27" w:rsidRPr="00FF5E27" w:rsidRDefault="00FF5E27" w:rsidP="00461D8F">
            <w:pPr>
              <w:numPr>
                <w:ilvl w:val="0"/>
                <w:numId w:val="25"/>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Testarea rezistenței (poate fi utilă în anumite circumstanțe)</w:t>
            </w:r>
          </w:p>
        </w:tc>
        <w:tc>
          <w:tcPr>
            <w:tcW w:w="3049" w:type="pct"/>
            <w:shd w:val="clear" w:color="auto" w:fill="auto"/>
            <w:vAlign w:val="bottom"/>
          </w:tcPr>
          <w:p w:rsidR="00FF5E27" w:rsidRPr="00FF5E27" w:rsidRDefault="00FF5E27" w:rsidP="00461D8F">
            <w:pPr>
              <w:numPr>
                <w:ilvl w:val="0"/>
                <w:numId w:val="26"/>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Indică expunerea la VHC.</w:t>
            </w:r>
          </w:p>
          <w:p w:rsidR="00FF5E27" w:rsidRPr="00FF5E27" w:rsidRDefault="00FF5E27" w:rsidP="00461D8F">
            <w:pPr>
              <w:numPr>
                <w:ilvl w:val="0"/>
                <w:numId w:val="26"/>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Confirmă infecția cu VHC.</w:t>
            </w:r>
          </w:p>
          <w:p w:rsidR="00FF5E27" w:rsidRPr="00FF5E27" w:rsidRDefault="00FF5E27" w:rsidP="00461D8F">
            <w:pPr>
              <w:numPr>
                <w:ilvl w:val="0"/>
                <w:numId w:val="26"/>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Pentru a selecta regimul adecvat și luarea în considerare a adăugării de ribavirinum*.</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Istoricul tratamentului pentru infecția cu VHC - regim și răspuns anterior</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Determină regimul și durata tratamentului</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Potențial de neaderare?</w:t>
            </w: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p>
        </w:tc>
        <w:tc>
          <w:tcPr>
            <w:tcW w:w="3049" w:type="pct"/>
            <w:shd w:val="clear" w:color="auto" w:fill="auto"/>
          </w:tcPr>
          <w:p w:rsidR="00FF5E27" w:rsidRPr="00FF5E27" w:rsidRDefault="00FF5E27" w:rsidP="00FF5E27">
            <w:pPr>
              <w:spacing w:after="0" w:line="240" w:lineRule="auto"/>
              <w:ind w:right="199"/>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Luați în considerare problemele medicale și sociale care pot fi bariere pentru respectarea aderenței la tratament</w:t>
            </w:r>
          </w:p>
        </w:tc>
      </w:tr>
      <w:tr w:rsidR="00FF5E27" w:rsidRPr="00FF5E27"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Istoricul aportului de alcool</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Cofactor pentru ciroză</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Indice de greutate și masă corporală</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Boala ficatului gras non-alcoolic este un cofactor pentru ciroză</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Verificați dacă există interacțiuni medicament-medicament</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De inclus medicamente prescrise, fără prescripții medicale, pe bază de plante, ilicite [49]</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Discuție despre sarcină </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Tratamentul antiviral este contraindicat în sarcină!</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Ureea, creatinina, cu calcul al ratei de filtrare glomerulară estimate (eGFR) (pot fi efectuate la necesitate)</w:t>
            </w:r>
          </w:p>
          <w:p w:rsidR="00FF5E27" w:rsidRPr="00FF5E27" w:rsidRDefault="00875399" w:rsidP="00FF5E27">
            <w:pPr>
              <w:spacing w:after="0" w:line="240" w:lineRule="auto"/>
              <w:rPr>
                <w:rFonts w:ascii="Times New Roman" w:eastAsia="Times New Roman" w:hAnsi="Times New Roman" w:cs="Times New Roman"/>
                <w:sz w:val="24"/>
                <w:szCs w:val="24"/>
                <w:lang w:val="ro-RO" w:eastAsia="ru-RU"/>
              </w:rPr>
            </w:pPr>
            <w:hyperlink r:id="rId36" w:history="1">
              <w:r w:rsidR="00FF5E27" w:rsidRPr="00FF5E27">
                <w:rPr>
                  <w:rFonts w:ascii="Times New Roman" w:eastAsia="Times New Roman" w:hAnsi="Times New Roman" w:cs="Times New Roman"/>
                  <w:color w:val="0000FF"/>
                  <w:sz w:val="24"/>
                  <w:szCs w:val="24"/>
                  <w:u w:val="single"/>
                  <w:lang w:val="ro-RO" w:eastAsia="ru-RU"/>
                </w:rPr>
                <w:t>https://www.mdcalc.com/</w:t>
              </w:r>
            </w:hyperlink>
            <w:r w:rsidR="00FF5E27" w:rsidRPr="00FF5E27">
              <w:rPr>
                <w:rFonts w:ascii="Times New Roman" w:eastAsia="Times New Roman" w:hAnsi="Times New Roman" w:cs="Times New Roman"/>
                <w:sz w:val="24"/>
                <w:szCs w:val="24"/>
                <w:lang w:val="ro-RO" w:eastAsia="ru-RU"/>
              </w:rPr>
              <w:t xml:space="preserve"> </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Funcția renală este importantă pentru a determina siguranța unor regimuri.</w:t>
            </w:r>
          </w:p>
          <w:p w:rsidR="00FF5E27" w:rsidRPr="00FF5E27" w:rsidRDefault="00FF5E27" w:rsidP="00461D8F">
            <w:pPr>
              <w:numPr>
                <w:ilvl w:val="0"/>
                <w:numId w:val="27"/>
              </w:numPr>
              <w:tabs>
                <w:tab w:val="left" w:pos="65"/>
                <w:tab w:val="left" w:pos="5295"/>
              </w:tabs>
              <w:spacing w:before="100" w:after="0" w:line="240" w:lineRule="auto"/>
              <w:ind w:left="0" w:right="-84" w:hanging="77"/>
              <w:rPr>
                <w:rFonts w:ascii="Times New Roman" w:eastAsia="Times New Roman" w:hAnsi="Times New Roman" w:cs="Times New Roman"/>
                <w:sz w:val="24"/>
                <w:szCs w:val="24"/>
                <w:lang w:val="ro-RO"/>
              </w:rPr>
            </w:pPr>
            <w:r w:rsidRPr="00FF5E27">
              <w:rPr>
                <w:rFonts w:ascii="Times New Roman" w:eastAsia="Times New Roman" w:hAnsi="Times New Roman" w:cs="Times New Roman"/>
                <w:color w:val="232323"/>
                <w:sz w:val="24"/>
                <w:szCs w:val="24"/>
                <w:shd w:val="clear" w:color="auto" w:fill="FFFFFF"/>
                <w:lang w:val="ro-RO" w:eastAsia="ru-RU"/>
              </w:rPr>
              <w:t xml:space="preserve">În cazuri mai puțin frecvente în care </w:t>
            </w:r>
            <w:r w:rsidRPr="00FF5E27">
              <w:rPr>
                <w:rFonts w:ascii="Times New Roman" w:eastAsia="Times New Roman" w:hAnsi="Times New Roman" w:cs="Times New Roman"/>
                <w:sz w:val="24"/>
                <w:szCs w:val="24"/>
                <w:lang w:val="ro-RO" w:eastAsia="ru-RU"/>
              </w:rPr>
              <w:t xml:space="preserve">ribavirinum* </w:t>
            </w:r>
            <w:r w:rsidRPr="00FF5E27">
              <w:rPr>
                <w:rFonts w:ascii="Times New Roman" w:eastAsia="Times New Roman" w:hAnsi="Times New Roman" w:cs="Times New Roman"/>
                <w:color w:val="232323"/>
                <w:sz w:val="24"/>
                <w:szCs w:val="24"/>
                <w:shd w:val="clear" w:color="auto" w:fill="FFFFFF"/>
                <w:lang w:val="ro-RO" w:eastAsia="ru-RU"/>
              </w:rPr>
              <w:t>este utilizată pentru tratament la pacienții cu insuficiență renală, doza trebuie ajustată în funcție de funcția renală.</w:t>
            </w:r>
          </w:p>
        </w:tc>
      </w:tr>
      <w:tr w:rsidR="00FF5E27" w:rsidRPr="00D645AA" w:rsidTr="00915F05">
        <w:tc>
          <w:tcPr>
            <w:tcW w:w="1951"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VHB (AgHBs, anti-HBc, anti-HBs), HIV, serologie HAV</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Dacă este pozitiv HIV, tratamentul pentru HIV trebuie să ia în considerare interacțiunile medicamentoase.</w:t>
            </w: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Dacă AgHBs este pozitiv sau anti-HBc este pozitiv, se stabilește coinfecția cu VHB (riscul reactivării VHB). Consultație medicului specialist infecționist/hepatolog este recomandată persoanelor cu coinfecție cu VHB sau HIV.</w:t>
            </w: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Dacă sunt seronegative, vaccinați împotriva HAV, VHB.</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Teste pentru excluderea altor boli hepatice comune (la necesitate):</w:t>
            </w:r>
          </w:p>
          <w:p w:rsidR="00FF5E27" w:rsidRPr="00FF5E27" w:rsidRDefault="00FF5E27" w:rsidP="00461D8F">
            <w:pPr>
              <w:numPr>
                <w:ilvl w:val="0"/>
                <w:numId w:val="22"/>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Saturația transferinei </w:t>
            </w:r>
          </w:p>
          <w:p w:rsidR="00FF5E27" w:rsidRPr="00FF5E27" w:rsidRDefault="00FF5E27" w:rsidP="00461D8F">
            <w:pPr>
              <w:numPr>
                <w:ilvl w:val="0"/>
                <w:numId w:val="22"/>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Ig G</w:t>
            </w:r>
          </w:p>
        </w:tc>
        <w:tc>
          <w:tcPr>
            <w:tcW w:w="3049" w:type="pct"/>
            <w:shd w:val="clear" w:color="auto" w:fill="auto"/>
          </w:tcPr>
          <w:p w:rsidR="00FF5E27" w:rsidRPr="00FF5E27" w:rsidRDefault="00FF5E27" w:rsidP="00461D8F">
            <w:pPr>
              <w:numPr>
                <w:ilvl w:val="0"/>
                <w:numId w:val="23"/>
              </w:numPr>
              <w:spacing w:before="100" w:after="0" w:line="240" w:lineRule="auto"/>
              <w:ind w:left="349" w:hanging="349"/>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Poate sugera hemocromatoză.</w:t>
            </w:r>
          </w:p>
          <w:p w:rsidR="00FF5E27" w:rsidRPr="00FF5E27" w:rsidRDefault="00FF5E27" w:rsidP="00461D8F">
            <w:pPr>
              <w:numPr>
                <w:ilvl w:val="0"/>
                <w:numId w:val="23"/>
              </w:numPr>
              <w:spacing w:before="100" w:after="0" w:line="240" w:lineRule="auto"/>
              <w:ind w:left="349" w:hanging="349"/>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Creșterea imunoglobulinei G poate reflecta ciroza sau posibil, hepatită autoimună</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Electrocardiograma dacă terapia cu ribavirinum* este planificată și pacientul este în vârstă de &gt; 50 ani sau are factori de risc cardiac</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Screening pentru boli cardiace ischemice</w:t>
            </w:r>
          </w:p>
        </w:tc>
      </w:tr>
      <w:tr w:rsidR="00FF5E27" w:rsidRPr="00D645AA" w:rsidTr="00915F05">
        <w:tc>
          <w:tcPr>
            <w:tcW w:w="5000" w:type="pct"/>
            <w:gridSpan w:val="2"/>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Semne ale bolilor cronice ale ficatului</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 xml:space="preserve">Hemoleucograma completă cu trombocite și viteza de sedimentare a hematiilor </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Nivelul inițial al hemoglobinei</w:t>
            </w:r>
          </w:p>
          <w:p w:rsidR="00FF5E27" w:rsidRPr="00FF5E27" w:rsidRDefault="00FF5E27" w:rsidP="00461D8F">
            <w:pPr>
              <w:numPr>
                <w:ilvl w:val="0"/>
                <w:numId w:val="15"/>
              </w:numPr>
              <w:spacing w:before="100" w:after="0" w:line="240" w:lineRule="auto"/>
              <w:ind w:hanging="360"/>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Trombocite scăzute - hipertensiune portală suspectă</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bCs/>
                <w:sz w:val="24"/>
                <w:szCs w:val="24"/>
                <w:lang w:val="ro-RO" w:eastAsia="ru-RU"/>
              </w:rPr>
            </w:pPr>
            <w:r w:rsidRPr="00FF5E27">
              <w:rPr>
                <w:rFonts w:ascii="Times New Roman" w:eastAsia="Times New Roman" w:hAnsi="Times New Roman" w:cs="Times New Roman"/>
                <w:bCs/>
                <w:sz w:val="24"/>
                <w:szCs w:val="24"/>
                <w:lang w:val="ro-RO" w:eastAsia="ru-RU"/>
              </w:rPr>
              <w:t>Teste hepatice de rutină:</w:t>
            </w:r>
          </w:p>
          <w:p w:rsidR="00FF5E27" w:rsidRPr="00FF5E27" w:rsidRDefault="00FF5E27" w:rsidP="00461D8F">
            <w:pPr>
              <w:numPr>
                <w:ilvl w:val="0"/>
                <w:numId w:val="122"/>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ALT, AST </w:t>
            </w:r>
          </w:p>
          <w:p w:rsidR="00FF5E27" w:rsidRPr="00FF5E27" w:rsidRDefault="00FF5E27" w:rsidP="00461D8F">
            <w:pPr>
              <w:numPr>
                <w:ilvl w:val="0"/>
                <w:numId w:val="122"/>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bilirubina, albumina, GGTP, INR (la necesitate)</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Albumină scăzută, bilirubină crescută, INR crescut sugerează ciroză avansată</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bookmarkStart w:id="84" w:name="_Hlk28324177"/>
            <w:r w:rsidRPr="00FF5E27">
              <w:rPr>
                <w:rFonts w:ascii="Times New Roman" w:eastAsia="Times New Roman" w:hAnsi="Times New Roman" w:cs="Times New Roman"/>
                <w:spacing w:val="5"/>
                <w:sz w:val="24"/>
                <w:szCs w:val="24"/>
                <w:lang w:val="ro-RO" w:eastAsia="ru-RU"/>
              </w:rPr>
              <w:t>Evaluarea severităţii bolii hepatice determinate de virusul hepatitei C -s</w:t>
            </w:r>
            <w:r w:rsidRPr="00FF5E27">
              <w:rPr>
                <w:rFonts w:ascii="Times New Roman" w:eastAsia="Times New Roman" w:hAnsi="Times New Roman" w:cs="Times New Roman"/>
                <w:sz w:val="24"/>
                <w:szCs w:val="24"/>
                <w:lang w:val="ro-RO" w:eastAsia="ru-RU"/>
              </w:rPr>
              <w:t>tadializarea fibrozei, evaluarea prezenței cirozei hepatice:</w:t>
            </w:r>
          </w:p>
          <w:p w:rsidR="00FF5E27" w:rsidRPr="00FF5E27" w:rsidRDefault="00FF5E27" w:rsidP="00461D8F">
            <w:pPr>
              <w:numPr>
                <w:ilvl w:val="0"/>
                <w:numId w:val="21"/>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Scorul APRI* și/sau FIB-4*</w:t>
            </w:r>
          </w:p>
          <w:p w:rsidR="00FF5E27" w:rsidRPr="00FF5E27" w:rsidRDefault="00FF5E27" w:rsidP="00461D8F">
            <w:pPr>
              <w:numPr>
                <w:ilvl w:val="0"/>
                <w:numId w:val="21"/>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Ecografie hepatică – ultrasonografie transabdominală ** (la necesitate)</w:t>
            </w:r>
          </w:p>
        </w:tc>
        <w:tc>
          <w:tcPr>
            <w:tcW w:w="3049" w:type="pct"/>
            <w:shd w:val="clear" w:color="auto" w:fill="auto"/>
          </w:tcPr>
          <w:p w:rsidR="00FF5E27" w:rsidRPr="00FF5E27" w:rsidRDefault="00FF5E27" w:rsidP="00FF5E27">
            <w:pPr>
              <w:spacing w:after="0" w:line="240" w:lineRule="auto"/>
              <w:ind w:left="360"/>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Praguri consecvente fără ciroză:</w:t>
            </w:r>
          </w:p>
          <w:p w:rsidR="00FF5E27" w:rsidRPr="00FF5E27" w:rsidRDefault="00FF5E27" w:rsidP="00461D8F">
            <w:pPr>
              <w:numPr>
                <w:ilvl w:val="0"/>
                <w:numId w:val="24"/>
              </w:numPr>
              <w:spacing w:before="100" w:after="0" w:line="240" w:lineRule="auto"/>
              <w:ind w:left="360"/>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APRI &lt;1.0; APRI &lt;0.7 are o valoare predictivă negativă foarte mare pentru a exclude ciroza.</w:t>
            </w:r>
          </w:p>
          <w:p w:rsidR="00FF5E27" w:rsidRPr="00FF5E27" w:rsidRDefault="00FF5E27" w:rsidP="00461D8F">
            <w:pPr>
              <w:numPr>
                <w:ilvl w:val="0"/>
                <w:numId w:val="31"/>
              </w:numPr>
              <w:spacing w:before="100"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Ecografia normală nu exclude ciroza.</w:t>
            </w: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Consultul specialiștilor este recomandată persoanelor cu ciroză!</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bCs/>
                <w:spacing w:val="5"/>
                <w:sz w:val="24"/>
                <w:szCs w:val="24"/>
                <w:lang w:val="ro-RO" w:eastAsia="ru-RU"/>
              </w:rPr>
            </w:pPr>
            <w:r w:rsidRPr="00FF5E27">
              <w:rPr>
                <w:rFonts w:ascii="Times New Roman" w:eastAsia="Times New Roman" w:hAnsi="Times New Roman" w:cs="Times New Roman"/>
                <w:bCs/>
                <w:sz w:val="24"/>
                <w:szCs w:val="24"/>
                <w:lang w:val="ro-RO" w:eastAsia="ru-RU"/>
              </w:rPr>
              <w:t>Ecografia Doppler Duplex color a sistemului portal (la pacienții cu ciroză)</w:t>
            </w:r>
          </w:p>
        </w:tc>
        <w:tc>
          <w:tcPr>
            <w:tcW w:w="3049" w:type="pct"/>
            <w:shd w:val="clear" w:color="auto" w:fill="auto"/>
          </w:tcPr>
          <w:p w:rsidR="00FF5E27" w:rsidRPr="00FF5E27" w:rsidRDefault="00FF5E27" w:rsidP="00461D8F">
            <w:pPr>
              <w:numPr>
                <w:ilvl w:val="0"/>
                <w:numId w:val="21"/>
              </w:numPr>
              <w:tabs>
                <w:tab w:val="left" w:pos="207"/>
              </w:tabs>
              <w:spacing w:before="100" w:after="0" w:line="240" w:lineRule="auto"/>
              <w:ind w:left="-77" w:firstLine="77"/>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Permite estimarea semnelor de hipertensiune portală prin măsurarea diametrului vaselor din hilul splinei, dar şi stabilirea vitezei şi volumului fluxului sangvin prin vena portă şi cea lienală, prin artera hepatică; poate detecta tromboze în sistemul portal</w:t>
            </w:r>
          </w:p>
        </w:tc>
      </w:tr>
      <w:tr w:rsidR="00FF5E27" w:rsidRPr="00D645AA" w:rsidTr="00915F05">
        <w:tc>
          <w:tcPr>
            <w:tcW w:w="1951" w:type="pct"/>
            <w:shd w:val="clear" w:color="auto" w:fill="auto"/>
          </w:tcPr>
          <w:p w:rsidR="00FF5E27" w:rsidRPr="00FF5E27" w:rsidRDefault="00FF5E27" w:rsidP="00FF5E27">
            <w:pPr>
              <w:spacing w:after="0" w:line="240" w:lineRule="auto"/>
              <w:rPr>
                <w:rFonts w:ascii="Times New Roman" w:eastAsia="Times New Roman" w:hAnsi="Times New Roman" w:cs="Times New Roman"/>
                <w:bCs/>
                <w:iCs/>
                <w:sz w:val="24"/>
                <w:szCs w:val="24"/>
                <w:lang w:val="ro-RO" w:eastAsia="ru-RU"/>
              </w:rPr>
            </w:pPr>
            <w:r w:rsidRPr="00FF5E27">
              <w:rPr>
                <w:rFonts w:ascii="Times New Roman" w:eastAsia="Times New Roman" w:hAnsi="Times New Roman" w:cs="Times New Roman"/>
                <w:bCs/>
                <w:iCs/>
                <w:sz w:val="24"/>
                <w:szCs w:val="24"/>
                <w:lang w:val="ro-RO" w:eastAsia="ru-RU"/>
              </w:rPr>
              <w:t>Metode endoscopice: endoscopia digestivă superioară (la necesitate)</w:t>
            </w:r>
          </w:p>
        </w:tc>
        <w:tc>
          <w:tcPr>
            <w:tcW w:w="3049"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Metodă utilă pentru evidenţierea semnelor de hipertensiune portală</w:t>
            </w:r>
          </w:p>
        </w:tc>
      </w:tr>
    </w:tbl>
    <w:p w:rsidR="00FF5E27" w:rsidRPr="00FF5E27" w:rsidRDefault="00FF5E27" w:rsidP="00FF5E27">
      <w:pPr>
        <w:spacing w:after="0" w:line="240" w:lineRule="auto"/>
        <w:rPr>
          <w:rFonts w:ascii="Times New Roman" w:eastAsia="Times New Roman" w:hAnsi="Times New Roman" w:cs="Times New Roman"/>
          <w:b/>
          <w:bCs/>
          <w:i/>
          <w:iCs/>
          <w:sz w:val="24"/>
          <w:szCs w:val="24"/>
          <w:lang w:val="ro-RO" w:eastAsia="ru-RU"/>
        </w:rPr>
      </w:pPr>
      <w:bookmarkStart w:id="85" w:name="_Hlk24311890"/>
      <w:r w:rsidRPr="00FF5E27">
        <w:rPr>
          <w:rFonts w:ascii="Times New Roman" w:eastAsia="Times New Roman" w:hAnsi="Times New Roman" w:cs="Times New Roman"/>
          <w:b/>
          <w:bCs/>
          <w:i/>
          <w:iCs/>
          <w:sz w:val="24"/>
          <w:szCs w:val="24"/>
          <w:lang w:val="ro-RO" w:eastAsia="ru-RU"/>
        </w:rPr>
        <w:t>Notă:</w:t>
      </w: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*Toate persoanele cu VHC trebuie să aibă evaluarea fibrozei.</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Cs/>
          <w:sz w:val="24"/>
          <w:szCs w:val="24"/>
          <w:lang w:val="ro-RO" w:eastAsia="ru-RU"/>
        </w:rPr>
        <w:t>**Ecografia transabdominală</w:t>
      </w:r>
      <w:r w:rsidRPr="00FF5E27">
        <w:rPr>
          <w:rFonts w:ascii="Times New Roman" w:eastAsia="Times New Roman" w:hAnsi="Times New Roman" w:cs="Times New Roman"/>
          <w:sz w:val="24"/>
          <w:szCs w:val="24"/>
          <w:lang w:val="ro-RO" w:eastAsia="ru-RU"/>
        </w:rPr>
        <w:t xml:space="preserve"> evidenţiază modificările de la nivelul parenchimului hepatic, semnele de hipertensiune portală, fiind utilizată și în screeningul cancerului hepatocelular. </w:t>
      </w:r>
    </w:p>
    <w:p w:rsidR="00FF5E27" w:rsidRPr="00FF5E27" w:rsidRDefault="00FF5E27" w:rsidP="00FF5E27">
      <w:pPr>
        <w:tabs>
          <w:tab w:val="left" w:pos="65"/>
          <w:tab w:val="left" w:pos="5295"/>
        </w:tabs>
        <w:spacing w:after="0" w:line="240" w:lineRule="auto"/>
        <w:ind w:right="-84"/>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vertAlign w:val="superscript"/>
          <w:lang w:val="ro-RO" w:eastAsia="ru-RU"/>
        </w:rPr>
        <w:t>&amp;</w:t>
      </w:r>
      <w:r w:rsidRPr="00FF5E27">
        <w:rPr>
          <w:rFonts w:ascii="Times New Roman" w:eastAsia="Times New Roman" w:hAnsi="Times New Roman" w:cs="Times New Roman"/>
          <w:sz w:val="24"/>
          <w:szCs w:val="24"/>
          <w:lang w:val="ro-RO" w:eastAsia="ru-RU"/>
        </w:rPr>
        <w:t xml:space="preserve"> Ribavirinum* - dozare în cazul tratamentului hepatitei virale C: </w:t>
      </w:r>
    </w:p>
    <w:p w:rsidR="00FF5E27" w:rsidRPr="00FF5E27" w:rsidRDefault="00FF5E27" w:rsidP="00461D8F">
      <w:pPr>
        <w:numPr>
          <w:ilvl w:val="0"/>
          <w:numId w:val="79"/>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CrCl ≥50 ml/minut: Nu sunt necesare ajustări ale dozei.</w:t>
      </w:r>
    </w:p>
    <w:p w:rsidR="00FF5E27" w:rsidRPr="00FF5E27" w:rsidRDefault="00FF5E27" w:rsidP="00461D8F">
      <w:pPr>
        <w:numPr>
          <w:ilvl w:val="0"/>
          <w:numId w:val="79"/>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CrCl &lt;50 ml/minut: Utilizarea este contraindicată.</w:t>
      </w:r>
    </w:p>
    <w:p w:rsidR="00FF5E27" w:rsidRPr="00FF5E27" w:rsidRDefault="00FF5E27" w:rsidP="00461D8F">
      <w:pPr>
        <w:numPr>
          <w:ilvl w:val="0"/>
          <w:numId w:val="80"/>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i/>
          <w:iCs/>
          <w:sz w:val="24"/>
          <w:szCs w:val="24"/>
          <w:lang w:val="ro-RO"/>
        </w:rPr>
        <w:t>Tablete Ribavirinum*</w:t>
      </w:r>
      <w:r w:rsidRPr="00FF5E27">
        <w:rPr>
          <w:rFonts w:ascii="Times New Roman" w:eastAsia="Times New Roman" w:hAnsi="Times New Roman" w:cs="Times New Roman"/>
          <w:sz w:val="24"/>
          <w:szCs w:val="24"/>
          <w:lang w:val="ro-RO"/>
        </w:rPr>
        <w:t>:</w:t>
      </w:r>
    </w:p>
    <w:p w:rsidR="00FF5E27" w:rsidRPr="00FF5E27" w:rsidRDefault="00FF5E27" w:rsidP="00461D8F">
      <w:pPr>
        <w:numPr>
          <w:ilvl w:val="0"/>
          <w:numId w:val="78"/>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CrCl &gt;50 ml/minut: Nu sunt necesare ajustări ale dozei.</w:t>
      </w:r>
    </w:p>
    <w:p w:rsidR="00FF5E27" w:rsidRPr="00FF5E27" w:rsidRDefault="00FF5E27" w:rsidP="00461D8F">
      <w:pPr>
        <w:numPr>
          <w:ilvl w:val="0"/>
          <w:numId w:val="78"/>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CrCl 30 până la 50 ml/minut: Alternați 200 mg și 400 mg o dată la două zile.</w:t>
      </w:r>
    </w:p>
    <w:p w:rsidR="00FF5E27" w:rsidRPr="00FF5E27" w:rsidRDefault="00FF5E27" w:rsidP="00461D8F">
      <w:pPr>
        <w:numPr>
          <w:ilvl w:val="0"/>
          <w:numId w:val="78"/>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CrCl &lt;30 ml/minut: 200 mg o dată pe zi.</w:t>
      </w:r>
    </w:p>
    <w:p w:rsidR="00FF5E27" w:rsidRPr="00FF5E27" w:rsidRDefault="00FF5E27" w:rsidP="00461D8F">
      <w:pPr>
        <w:numPr>
          <w:ilvl w:val="0"/>
          <w:numId w:val="78"/>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Insuficiența renală cronică care necesită hemodializă: 200 mg o dată pe zi</w:t>
      </w:r>
    </w:p>
    <w:bookmarkEnd w:id="76"/>
    <w:bookmarkEnd w:id="77"/>
    <w:bookmarkEnd w:id="78"/>
    <w:bookmarkEnd w:id="85"/>
    <w:p w:rsidR="00FF5E27" w:rsidRPr="00FF5E27" w:rsidRDefault="00FF5E27" w:rsidP="00461D8F">
      <w:pPr>
        <w:numPr>
          <w:ilvl w:val="0"/>
          <w:numId w:val="14"/>
        </w:numPr>
        <w:spacing w:before="100" w:after="0" w:line="240" w:lineRule="auto"/>
        <w:ind w:left="142"/>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bCs/>
          <w:i/>
          <w:iCs/>
          <w:sz w:val="24"/>
          <w:szCs w:val="24"/>
          <w:lang w:val="ro-RO" w:eastAsia="ru-RU"/>
        </w:rPr>
        <w:t>Abrevieri:</w:t>
      </w:r>
      <w:r w:rsidRPr="00FF5E27">
        <w:rPr>
          <w:rFonts w:ascii="Times New Roman" w:eastAsia="Times New Roman" w:hAnsi="Times New Roman" w:cs="Times New Roman"/>
          <w:sz w:val="24"/>
          <w:szCs w:val="24"/>
          <w:lang w:val="ro-RO" w:eastAsia="ru-RU"/>
        </w:rPr>
        <w:t xml:space="preserve"> anti-HBc - anticorp nuclear (</w:t>
      </w:r>
      <w:r w:rsidRPr="00FF5E27">
        <w:rPr>
          <w:rFonts w:ascii="Times New Roman" w:eastAsia="Times New Roman" w:hAnsi="Times New Roman" w:cs="Times New Roman"/>
          <w:i/>
          <w:iCs/>
          <w:sz w:val="24"/>
          <w:szCs w:val="24"/>
          <w:lang w:val="ro-RO" w:eastAsia="ru-RU"/>
        </w:rPr>
        <w:t>core</w:t>
      </w:r>
      <w:r w:rsidRPr="00FF5E27">
        <w:rPr>
          <w:rFonts w:ascii="Times New Roman" w:eastAsia="Times New Roman" w:hAnsi="Times New Roman" w:cs="Times New Roman"/>
          <w:sz w:val="24"/>
          <w:szCs w:val="24"/>
          <w:lang w:val="ro-RO" w:eastAsia="ru-RU"/>
        </w:rPr>
        <w:t xml:space="preserve">) al virusului hepatitei B; anti-HBs - anticorp de suprafață al virusului hepatitei B; </w:t>
      </w:r>
      <w:r w:rsidRPr="00FF5E27">
        <w:rPr>
          <w:rFonts w:ascii="Times New Roman" w:eastAsia="Times New Roman" w:hAnsi="Times New Roman" w:cs="Times New Roman"/>
          <w:b/>
          <w:sz w:val="24"/>
          <w:szCs w:val="24"/>
          <w:lang w:val="ro-RO" w:eastAsia="ru-RU"/>
        </w:rPr>
        <w:t>APRI</w:t>
      </w:r>
      <w:r w:rsidRPr="00FF5E27">
        <w:rPr>
          <w:rFonts w:ascii="Times New Roman" w:eastAsia="Times New Roman" w:hAnsi="Times New Roman" w:cs="Times New Roman"/>
          <w:sz w:val="24"/>
          <w:szCs w:val="24"/>
          <w:lang w:val="ro-RO" w:eastAsia="ru-RU"/>
        </w:rPr>
        <w:t xml:space="preserve"> - indicele raportului dintre valoarea aspartataminotransferază a pacientului (U/L)/valoarea limitei superioare a normei pentru aspartataminotransferază = 40 (U/L) x 100/conținutul de trombocite la pacient (x10</w:t>
      </w:r>
      <w:r w:rsidRPr="00FF5E27">
        <w:rPr>
          <w:rFonts w:ascii="Times New Roman" w:eastAsia="Times New Roman" w:hAnsi="Times New Roman" w:cs="Times New Roman"/>
          <w:sz w:val="24"/>
          <w:szCs w:val="24"/>
          <w:vertAlign w:val="superscript"/>
          <w:lang w:val="ro-RO" w:eastAsia="ru-RU"/>
        </w:rPr>
        <w:t>9</w:t>
      </w:r>
      <w:r w:rsidRPr="00FF5E27">
        <w:rPr>
          <w:rFonts w:ascii="Times New Roman" w:eastAsia="Times New Roman" w:hAnsi="Times New Roman" w:cs="Times New Roman"/>
          <w:sz w:val="24"/>
          <w:szCs w:val="24"/>
          <w:lang w:val="ro-RO" w:eastAsia="ru-RU"/>
        </w:rPr>
        <w:t>/L); AgHBs - antigen de suprafață a virusului hepatitei B; VHB - virusul hepatitei B; VHC - virusul hepatitei C; HIV - virusul imunodeficienței umane; Ig G - imunoglobulina G; INR - raport normalizat internațional.</w:t>
      </w:r>
      <w:bookmarkEnd w:id="79"/>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915F05">
        <w:trPr>
          <w:trHeight w:val="1148"/>
        </w:trPr>
        <w:tc>
          <w:tcPr>
            <w:tcW w:w="5000" w:type="pct"/>
          </w:tcPr>
          <w:p w:rsidR="00FF5E27" w:rsidRPr="00FF5E27" w:rsidRDefault="00FF5E27" w:rsidP="00FF5E27">
            <w:pPr>
              <w:spacing w:after="0" w:line="240" w:lineRule="auto"/>
              <w:jc w:val="both"/>
              <w:rPr>
                <w:rFonts w:ascii="Times New Roman" w:eastAsia="Times New Roman" w:hAnsi="Times New Roman" w:cs="Times New Roman"/>
                <w:bCs/>
                <w:sz w:val="24"/>
                <w:szCs w:val="24"/>
                <w:lang w:val="ro-RO" w:eastAsia="ru-RU"/>
              </w:rPr>
            </w:pPr>
            <w:bookmarkStart w:id="86" w:name="_Hlk28325019"/>
            <w:bookmarkEnd w:id="84"/>
            <w:r w:rsidRPr="00FF5E27">
              <w:rPr>
                <w:rFonts w:ascii="Times New Roman" w:eastAsia="Times New Roman" w:hAnsi="Times New Roman" w:cs="Times New Roman"/>
                <w:b/>
                <w:sz w:val="24"/>
                <w:szCs w:val="24"/>
                <w:lang w:val="ro-RO" w:eastAsia="ru-RU"/>
              </w:rPr>
              <w:lastRenderedPageBreak/>
              <w:t xml:space="preserve">Caseta 13. Oportunități de evaluare și stadializare a fibrozei hepatice legată de VHC </w:t>
            </w:r>
            <w:r w:rsidRPr="00FF5E27">
              <w:rPr>
                <w:rFonts w:ascii="Times New Roman" w:eastAsia="Times New Roman" w:hAnsi="Times New Roman" w:cs="Times New Roman"/>
                <w:bCs/>
                <w:sz w:val="24"/>
                <w:szCs w:val="24"/>
                <w:lang w:val="ro-RO" w:eastAsia="ru-RU"/>
              </w:rPr>
              <w:t>[37]</w:t>
            </w:r>
          </w:p>
          <w:p w:rsidR="00FF5E27" w:rsidRPr="00FF5E27" w:rsidRDefault="00FF5E27" w:rsidP="00461D8F">
            <w:pPr>
              <w:numPr>
                <w:ilvl w:val="0"/>
                <w:numId w:val="113"/>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Fibroza hepatică legată de VHC este un proces dinamic de cicatrizare în care inflamația cronică stimulează producția și acumularea de colagen și proteine din matricea extracelulară.</w:t>
            </w:r>
          </w:p>
          <w:p w:rsidR="00FF5E27" w:rsidRPr="00FF5E27" w:rsidRDefault="00FF5E27" w:rsidP="00461D8F">
            <w:pPr>
              <w:numPr>
                <w:ilvl w:val="0"/>
                <w:numId w:val="113"/>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Testele simple de laborator trebuie să fie utilizate în continuare pentru a identifica ciroza evidentă, împreună cu imagistica abdominală, acolo unde este cazul.</w:t>
            </w:r>
          </w:p>
          <w:p w:rsidR="00FF5E27" w:rsidRPr="00FF5E27" w:rsidRDefault="00FF5E27" w:rsidP="00461D8F">
            <w:pPr>
              <w:numPr>
                <w:ilvl w:val="0"/>
                <w:numId w:val="113"/>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Biopsia hepatică rămâne standardul de aur pentru diagnosticarea altor cauze ale bolii hepatice și pentru stabilirea prezenței și severității fibrozei.</w:t>
            </w:r>
          </w:p>
          <w:p w:rsidR="00FF5E27" w:rsidRPr="00FF5E27" w:rsidRDefault="00FF5E27" w:rsidP="00461D8F">
            <w:pPr>
              <w:numPr>
                <w:ilvl w:val="0"/>
                <w:numId w:val="113"/>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Markerii serici neinvazivi arată utilitate clinică în prezicerea prezenței sau absenței fibrozei/cirozei semnificative, dar nu sunt la fel de utili în diferențierea stadiilor intermediare ale fibrozei.</w:t>
            </w:r>
          </w:p>
          <w:p w:rsidR="00FF5E27" w:rsidRPr="00FF5E27" w:rsidRDefault="00FF5E27" w:rsidP="00461D8F">
            <w:pPr>
              <w:numPr>
                <w:ilvl w:val="0"/>
                <w:numId w:val="113"/>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În general, abordarea optimă a evaluării fibrozei este utilizarea markerilor/testelor serici neinvazive în combinație cu elastografia tranzitorie. Dacă elastografia tranzitorie nu este disponibilă, atunci trebuie utilizați doi markeri/teste serici neinvazive diferiți.</w:t>
            </w:r>
          </w:p>
          <w:p w:rsidR="00FF5E27" w:rsidRPr="00FF5E27" w:rsidRDefault="00FF5E27" w:rsidP="00461D8F">
            <w:pPr>
              <w:numPr>
                <w:ilvl w:val="0"/>
                <w:numId w:val="113"/>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 xml:space="preserve">Concordanța (acordul că fibroza avansată [F3/F4] este prezentă sau absentă) între două metode neinvazive de fibroză este de obicei considerată suficientă pentru a evita biopsia hepatică. </w:t>
            </w:r>
          </w:p>
          <w:p w:rsidR="00FF5E27" w:rsidRPr="00FF5E27" w:rsidRDefault="00FF5E27" w:rsidP="00461D8F">
            <w:pPr>
              <w:numPr>
                <w:ilvl w:val="0"/>
                <w:numId w:val="113"/>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Biopsia hepatică poate fi luată în considerare dacă două teste neinvazive sunt discordante.</w:t>
            </w:r>
          </w:p>
          <w:p w:rsidR="00FF5E27" w:rsidRPr="00FF5E27" w:rsidRDefault="00FF5E27" w:rsidP="00461D8F">
            <w:pPr>
              <w:numPr>
                <w:ilvl w:val="0"/>
                <w:numId w:val="113"/>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Dintre testele neinvazive utilizate pentru evaluarea fibrozei hepatice, elastografia tranzitorie este cea mai precisă pentru identificarea cirozei.</w:t>
            </w:r>
          </w:p>
        </w:tc>
      </w:tr>
    </w:tbl>
    <w:p w:rsidR="00FF5E27" w:rsidRPr="00FF5E27" w:rsidRDefault="00FF5E27" w:rsidP="00FF5E27">
      <w:pPr>
        <w:spacing w:after="0" w:line="240" w:lineRule="auto"/>
        <w:ind w:left="142"/>
        <w:jc w:val="both"/>
        <w:rPr>
          <w:rFonts w:ascii="Times New Roman" w:eastAsia="Times New Roman" w:hAnsi="Times New Roman" w:cs="Times New Roman"/>
          <w:b/>
          <w:sz w:val="24"/>
          <w:szCs w:val="24"/>
          <w:lang w:val="ro-RO"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FF5E27" w:rsidTr="00915F05">
        <w:trPr>
          <w:trHeight w:val="268"/>
        </w:trPr>
        <w:tc>
          <w:tcPr>
            <w:tcW w:w="5000" w:type="pct"/>
          </w:tcPr>
          <w:bookmarkEnd w:id="86"/>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 xml:space="preserve">Caseta 14. </w:t>
            </w:r>
            <w:r w:rsidRPr="00FF5E27">
              <w:rPr>
                <w:rFonts w:ascii="Times New Roman" w:eastAsia="Times New Roman" w:hAnsi="Times New Roman" w:cs="Times New Roman"/>
                <w:b/>
                <w:iCs/>
                <w:sz w:val="24"/>
                <w:szCs w:val="24"/>
                <w:lang w:val="ro-RO" w:eastAsia="ru-RU"/>
              </w:rPr>
              <w:t xml:space="preserve">Evaluarea noninvazivă a fibrozei hepatice </w:t>
            </w:r>
          </w:p>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Teste neinvazive pentru fibroză </w:t>
            </w:r>
            <w:r w:rsidRPr="00FF5E27">
              <w:rPr>
                <w:rFonts w:ascii="Times New Roman" w:eastAsia="Times New Roman" w:hAnsi="Times New Roman" w:cs="Times New Roman"/>
                <w:color w:val="232323"/>
                <w:sz w:val="24"/>
                <w:szCs w:val="24"/>
                <w:shd w:val="clear" w:color="auto" w:fill="FFFFFF"/>
                <w:lang w:val="ro-RO" w:eastAsia="ru-RU"/>
              </w:rPr>
              <w:t>— Diferiți markeri neinvazivi ai fibrozei hepatice pot fi foarte utili pentru a evalua gradul de fibroză hepatică prezent. Unele dintre acestea, cum ar fi raportul AST/ALT, indicele AST la raportul trombocitelor (</w:t>
            </w:r>
            <w:r w:rsidRPr="00FF5E27">
              <w:rPr>
                <w:rFonts w:ascii="Times New Roman" w:eastAsia="Times New Roman" w:hAnsi="Times New Roman" w:cs="Times New Roman"/>
                <w:b/>
                <w:bCs/>
                <w:i/>
                <w:iCs/>
                <w:color w:val="232323"/>
                <w:sz w:val="24"/>
                <w:szCs w:val="24"/>
                <w:shd w:val="clear" w:color="auto" w:fill="FFFFFF"/>
                <w:lang w:val="ro-RO" w:eastAsia="ru-RU"/>
              </w:rPr>
              <w:t>APRI</w:t>
            </w:r>
            <w:r w:rsidRPr="00FF5E27">
              <w:rPr>
                <w:rFonts w:ascii="Times New Roman" w:eastAsia="Times New Roman" w:hAnsi="Times New Roman" w:cs="Times New Roman"/>
                <w:color w:val="232323"/>
                <w:sz w:val="24"/>
                <w:szCs w:val="24"/>
                <w:shd w:val="clear" w:color="auto" w:fill="FFFFFF"/>
                <w:lang w:val="ro-RO" w:eastAsia="ru-RU"/>
              </w:rPr>
              <w:t xml:space="preserve"> și </w:t>
            </w:r>
            <w:r w:rsidRPr="00FF5E27">
              <w:rPr>
                <w:rFonts w:ascii="Times New Roman" w:eastAsia="Times New Roman" w:hAnsi="Times New Roman" w:cs="Times New Roman"/>
                <w:b/>
                <w:bCs/>
                <w:i/>
                <w:iCs/>
                <w:color w:val="232323"/>
                <w:sz w:val="24"/>
                <w:szCs w:val="24"/>
                <w:shd w:val="clear" w:color="auto" w:fill="FFFFFF"/>
                <w:lang w:val="ro-RO" w:eastAsia="ru-RU"/>
              </w:rPr>
              <w:t>FIB-4</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color w:val="232323"/>
                <w:sz w:val="24"/>
                <w:szCs w:val="24"/>
                <w:shd w:val="clear" w:color="auto" w:fill="FFFFFF"/>
                <w:lang w:val="ro-RO" w:eastAsia="ru-RU"/>
              </w:rPr>
              <w:t>pot fi calculate din rezultatele testelor de laborator de rutină (</w:t>
            </w:r>
            <w:hyperlink r:id="rId37" w:history="1">
              <w:r w:rsidRPr="00FF5E27">
                <w:rPr>
                  <w:rFonts w:ascii="Times New Roman" w:eastAsia="Times New Roman" w:hAnsi="Times New Roman" w:cs="Times New Roman"/>
                  <w:color w:val="0000FF"/>
                  <w:sz w:val="24"/>
                  <w:szCs w:val="24"/>
                  <w:u w:val="single"/>
                  <w:shd w:val="clear" w:color="auto" w:fill="FFFFFF"/>
                  <w:lang w:val="ro-RO" w:eastAsia="ru-RU"/>
                </w:rPr>
                <w:t>https://www.mdcalc.com/</w:t>
              </w:r>
            </w:hyperlink>
            <w:r w:rsidRPr="00FF5E27">
              <w:rPr>
                <w:rFonts w:ascii="Times New Roman" w:eastAsia="Times New Roman" w:hAnsi="Times New Roman" w:cs="Times New Roman"/>
                <w:color w:val="232323"/>
                <w:sz w:val="24"/>
                <w:szCs w:val="24"/>
                <w:shd w:val="clear" w:color="auto" w:fill="FFFFFF"/>
                <w:lang w:val="ro-RO" w:eastAsia="ru-RU"/>
              </w:rPr>
              <w:t xml:space="preserve">).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Alte teste de diagnostic neinvazive specializate includ FibroSure și elastografia tranzitorie pe bază de ultrasunete. Beneficiile potențiale ale acestor markeri neinvazivi sunt ușurința în administrare și costul mai mic în comparație cu biopsia hepatică. De asemenea, acestea pot fi repetate în timp pentru a monitoriza progresul bolii hepatice și pot prezice rezultatele clinice mai bine decât biopsia hepatică.</w:t>
            </w:r>
          </w:p>
          <w:p w:rsidR="00FF5E27" w:rsidRPr="00FF5E27" w:rsidRDefault="00FF5E27" w:rsidP="00461D8F">
            <w:pPr>
              <w:numPr>
                <w:ilvl w:val="0"/>
                <w:numId w:val="14"/>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b/>
                <w:bCs/>
                <w:sz w:val="24"/>
                <w:szCs w:val="24"/>
                <w:lang w:val="ro-RO" w:eastAsia="ru-RU"/>
              </w:rPr>
              <w:t>Indice</w:t>
            </w:r>
            <w:r w:rsidRPr="00FF5E27">
              <w:rPr>
                <w:rFonts w:ascii="Times New Roman" w:eastAsia="Times New Roman" w:hAnsi="Times New Roman" w:cs="Times New Roman"/>
                <w:bCs/>
                <w:sz w:val="24"/>
                <w:szCs w:val="24"/>
                <w:lang w:val="ro-RO" w:eastAsia="ru-RU"/>
              </w:rPr>
              <w:t xml:space="preserve"> </w:t>
            </w:r>
            <w:r w:rsidRPr="00FF5E27">
              <w:rPr>
                <w:rFonts w:ascii="Times New Roman" w:eastAsia="Times New Roman" w:hAnsi="Times New Roman" w:cs="Times New Roman"/>
                <w:b/>
                <w:sz w:val="24"/>
                <w:szCs w:val="24"/>
                <w:lang w:val="ro-RO" w:eastAsia="ru-RU"/>
              </w:rPr>
              <w:t>APRI</w:t>
            </w:r>
            <w:r w:rsidRPr="00FF5E27">
              <w:rPr>
                <w:rFonts w:ascii="Times New Roman" w:eastAsia="Times New Roman" w:hAnsi="Times New Roman" w:cs="Times New Roman"/>
                <w:b/>
                <w:bCs/>
                <w:sz w:val="24"/>
                <w:szCs w:val="24"/>
                <w:lang w:val="ro-RO" w:eastAsia="ru-RU"/>
              </w:rPr>
              <w:t xml:space="preserve"> = </w:t>
            </w:r>
            <w:r w:rsidRPr="00FF5E27">
              <w:rPr>
                <w:rFonts w:ascii="Times New Roman" w:eastAsia="Times New Roman" w:hAnsi="Times New Roman" w:cs="Times New Roman"/>
                <w:sz w:val="24"/>
                <w:szCs w:val="24"/>
                <w:lang w:val="ro-RO" w:eastAsia="ru-RU"/>
              </w:rPr>
              <w:t>Valoarea aspartat aminotransferază (AST) a pacientului (U/L)/Valoarea limitei superioare a normei pentru AST = 40 (U/L) x 100/Conținutul de trombocite la pacient (x10</w:t>
            </w:r>
            <w:r w:rsidRPr="00FF5E27">
              <w:rPr>
                <w:rFonts w:ascii="Times New Roman" w:eastAsia="Times New Roman" w:hAnsi="Times New Roman" w:cs="Times New Roman"/>
                <w:sz w:val="24"/>
                <w:szCs w:val="24"/>
                <w:vertAlign w:val="superscript"/>
                <w:lang w:val="ro-RO" w:eastAsia="ru-RU"/>
              </w:rPr>
              <w:t>9</w:t>
            </w:r>
            <w:r w:rsidRPr="00FF5E27">
              <w:rPr>
                <w:rFonts w:ascii="Times New Roman" w:eastAsia="Times New Roman" w:hAnsi="Times New Roman" w:cs="Times New Roman"/>
                <w:sz w:val="24"/>
                <w:szCs w:val="24"/>
                <w:lang w:val="ro-RO" w:eastAsia="ru-RU"/>
              </w:rPr>
              <w:t xml:space="preserve">/L). </w:t>
            </w:r>
          </w:p>
          <w:p w:rsidR="00FF5E27" w:rsidRPr="00FF5E27" w:rsidRDefault="00875399" w:rsidP="00FF5E27">
            <w:pPr>
              <w:spacing w:after="0" w:line="240" w:lineRule="auto"/>
              <w:jc w:val="both"/>
              <w:rPr>
                <w:rFonts w:ascii="Times New Roman" w:eastAsia="Times New Roman" w:hAnsi="Times New Roman" w:cs="Times New Roman"/>
                <w:sz w:val="24"/>
                <w:szCs w:val="24"/>
                <w:lang w:val="ro-RO" w:eastAsia="ru-RU"/>
              </w:rPr>
            </w:pPr>
            <w:hyperlink r:id="rId38" w:history="1">
              <w:r w:rsidR="00FF5E27" w:rsidRPr="00FF5E27">
                <w:rPr>
                  <w:rFonts w:ascii="Times New Roman" w:eastAsia="Times New Roman" w:hAnsi="Times New Roman" w:cs="Times New Roman"/>
                  <w:color w:val="0000FF"/>
                  <w:sz w:val="24"/>
                  <w:szCs w:val="24"/>
                  <w:u w:val="single"/>
                  <w:lang w:val="ro-RO" w:eastAsia="ru-RU"/>
                </w:rPr>
                <w:t>https://www.mdcalc.com/</w:t>
              </w:r>
            </w:hyperlink>
            <w:r w:rsidR="00FF5E27" w:rsidRPr="00FF5E27">
              <w:rPr>
                <w:rFonts w:ascii="Times New Roman" w:eastAsia="Times New Roman" w:hAnsi="Times New Roman" w:cs="Times New Roman"/>
                <w:sz w:val="24"/>
                <w:szCs w:val="24"/>
                <w:lang w:val="ro-RO" w:eastAsia="ru-RU"/>
              </w:rPr>
              <w:t xml:space="preserve">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Interpretarea APRI: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6640"/>
            </w:tblGrid>
            <w:tr w:rsidR="00FF5E27" w:rsidRPr="00D645AA" w:rsidTr="00FF5E27">
              <w:tc>
                <w:tcPr>
                  <w:tcW w:w="1294" w:type="pct"/>
                  <w:shd w:val="clear" w:color="auto" w:fill="auto"/>
                  <w:noWrap/>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353535"/>
                      <w:sz w:val="24"/>
                      <w:szCs w:val="24"/>
                      <w:lang w:val="ro-RO" w:eastAsia="ru-RU"/>
                    </w:rPr>
                    <w:t>DESCHIS ≤0,3:</w:t>
                  </w:r>
                </w:p>
              </w:tc>
              <w:tc>
                <w:tcPr>
                  <w:tcW w:w="3706"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000000"/>
                      <w:sz w:val="24"/>
                      <w:szCs w:val="24"/>
                      <w:lang w:val="ro-RO" w:eastAsia="ru-RU"/>
                    </w:rPr>
                    <w:t>Ciroză sau fibroză semnificativă puțin probabilă</w:t>
                  </w:r>
                </w:p>
              </w:tc>
            </w:tr>
            <w:tr w:rsidR="00FF5E27" w:rsidRPr="00D645AA" w:rsidTr="00FF5E27">
              <w:tc>
                <w:tcPr>
                  <w:tcW w:w="1294" w:type="pct"/>
                  <w:shd w:val="clear" w:color="auto" w:fill="auto"/>
                  <w:noWrap/>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353535"/>
                      <w:sz w:val="24"/>
                      <w:szCs w:val="24"/>
                      <w:lang w:val="ro-RO" w:eastAsia="ru-RU"/>
                    </w:rPr>
                    <w:t>APRI &gt;0,3 și ≤0,5:</w:t>
                  </w:r>
                </w:p>
              </w:tc>
              <w:tc>
                <w:tcPr>
                  <w:tcW w:w="3706"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000000"/>
                      <w:sz w:val="24"/>
                      <w:szCs w:val="24"/>
                      <w:lang w:val="ro-RO" w:eastAsia="ru-RU"/>
                    </w:rPr>
                    <w:t>Ciroză puțin probabilă, fibroză semnificativă posibilă</w:t>
                  </w:r>
                </w:p>
              </w:tc>
            </w:tr>
            <w:tr w:rsidR="00FF5E27" w:rsidRPr="00D645AA" w:rsidTr="00FF5E27">
              <w:tc>
                <w:tcPr>
                  <w:tcW w:w="1294" w:type="pct"/>
                  <w:shd w:val="clear" w:color="auto" w:fill="auto"/>
                  <w:noWrap/>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353535"/>
                      <w:sz w:val="24"/>
                      <w:szCs w:val="24"/>
                      <w:lang w:val="ro-RO" w:eastAsia="ru-RU"/>
                    </w:rPr>
                    <w:t>APRI &gt;0,5 și ≤1,5:</w:t>
                  </w:r>
                </w:p>
              </w:tc>
              <w:tc>
                <w:tcPr>
                  <w:tcW w:w="3706"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000000"/>
                      <w:sz w:val="24"/>
                      <w:szCs w:val="24"/>
                      <w:lang w:val="ro-RO" w:eastAsia="ru-RU"/>
                    </w:rPr>
                    <w:t>Fibroză semnificativă sau ciroză posibilă</w:t>
                  </w:r>
                </w:p>
              </w:tc>
            </w:tr>
            <w:tr w:rsidR="00FF5E27" w:rsidRPr="00D645AA" w:rsidTr="00FF5E27">
              <w:tc>
                <w:tcPr>
                  <w:tcW w:w="1294" w:type="pct"/>
                  <w:shd w:val="clear" w:color="auto" w:fill="auto"/>
                  <w:noWrap/>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353535"/>
                      <w:sz w:val="24"/>
                      <w:szCs w:val="24"/>
                      <w:lang w:val="ro-RO" w:eastAsia="ru-RU"/>
                    </w:rPr>
                    <w:t>APRI &gt;1,5 și ≤2:</w:t>
                  </w:r>
                </w:p>
              </w:tc>
              <w:tc>
                <w:tcPr>
                  <w:tcW w:w="3706"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000000"/>
                      <w:sz w:val="24"/>
                      <w:szCs w:val="24"/>
                      <w:lang w:val="ro-RO" w:eastAsia="ru-RU"/>
                    </w:rPr>
                    <w:t>Fibroză semnificativă probabilă, posibilă ciroză</w:t>
                  </w:r>
                </w:p>
              </w:tc>
            </w:tr>
            <w:tr w:rsidR="00FF5E27" w:rsidRPr="00D645AA" w:rsidTr="00FF5E27">
              <w:tc>
                <w:tcPr>
                  <w:tcW w:w="1294" w:type="pct"/>
                  <w:shd w:val="clear" w:color="auto" w:fill="auto"/>
                  <w:noWrap/>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353535"/>
                      <w:sz w:val="24"/>
                      <w:szCs w:val="24"/>
                      <w:lang w:val="ro-RO" w:eastAsia="ru-RU"/>
                    </w:rPr>
                    <w:t>APRI &gt;2:</w:t>
                  </w:r>
                </w:p>
              </w:tc>
              <w:tc>
                <w:tcPr>
                  <w:tcW w:w="3706"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000000"/>
                      <w:sz w:val="24"/>
                      <w:szCs w:val="24"/>
                      <w:lang w:val="ro-RO" w:eastAsia="ru-RU"/>
                    </w:rPr>
                    <w:t>Probabil ciroză</w:t>
                  </w:r>
                </w:p>
              </w:tc>
            </w:tr>
          </w:tbl>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 xml:space="preserve">** FIB-4 index </w:t>
            </w:r>
            <w:r w:rsidRPr="00FF5E27">
              <w:rPr>
                <w:rFonts w:ascii="Times New Roman" w:eastAsia="Times New Roman" w:hAnsi="Times New Roman" w:cs="Times New Roman"/>
                <w:sz w:val="24"/>
                <w:szCs w:val="24"/>
                <w:lang w:val="ro-RO" w:eastAsia="ru-RU"/>
              </w:rPr>
              <w:t>=</w:t>
            </w:r>
            <w:r w:rsidRPr="00FF5E27">
              <w:rPr>
                <w:rFonts w:ascii="Times New Roman" w:eastAsia="Times New Roman" w:hAnsi="Times New Roman" w:cs="Times New Roman"/>
                <w:b/>
                <w:sz w:val="24"/>
                <w:szCs w:val="24"/>
                <w:lang w:val="ro-RO" w:eastAsia="ru-RU"/>
              </w:rPr>
              <w:t xml:space="preserve"> </w:t>
            </w:r>
            <w:r w:rsidRPr="00FF5E27">
              <w:rPr>
                <w:rFonts w:ascii="Times New Roman" w:eastAsia="Times New Roman" w:hAnsi="Times New Roman" w:cs="Times New Roman"/>
                <w:sz w:val="24"/>
                <w:szCs w:val="24"/>
                <w:lang w:val="ro-RO" w:eastAsia="ru-RU"/>
              </w:rPr>
              <w:t>Vârsta pacientului (în ani) x Valoarea AST (în U/L)/Conținutul de trombocite la pacient (x10</w:t>
            </w:r>
            <w:r w:rsidRPr="00FF5E27">
              <w:rPr>
                <w:rFonts w:ascii="Times New Roman" w:eastAsia="Times New Roman" w:hAnsi="Times New Roman" w:cs="Times New Roman"/>
                <w:sz w:val="24"/>
                <w:szCs w:val="24"/>
                <w:vertAlign w:val="superscript"/>
                <w:lang w:val="ro-RO" w:eastAsia="ru-RU"/>
              </w:rPr>
              <w:t>9</w:t>
            </w:r>
            <w:r w:rsidRPr="00FF5E27">
              <w:rPr>
                <w:rFonts w:ascii="Times New Roman" w:eastAsia="Times New Roman" w:hAnsi="Times New Roman" w:cs="Times New Roman"/>
                <w:sz w:val="24"/>
                <w:szCs w:val="24"/>
                <w:lang w:val="ro-RO" w:eastAsia="ru-RU"/>
              </w:rPr>
              <w:t xml:space="preserve">/L) x </w:t>
            </w:r>
            <w:r w:rsidRPr="00FF5E27">
              <w:rPr>
                <w:rFonts w:ascii="Times New Roman" w:eastAsia="Times New Roman" w:hAnsi="Times New Roman" w:cs="Times New Roman"/>
                <w:b/>
                <w:sz w:val="24"/>
                <w:szCs w:val="24"/>
                <w:lang w:val="ro-RO" w:eastAsia="ru-RU"/>
              </w:rPr>
              <w:t>√</w:t>
            </w:r>
            <w:r w:rsidRPr="00FF5E27">
              <w:rPr>
                <w:rFonts w:ascii="Times New Roman" w:eastAsia="Times New Roman" w:hAnsi="Times New Roman" w:cs="Times New Roman"/>
                <w:sz w:val="24"/>
                <w:szCs w:val="24"/>
                <w:lang w:val="ro-RO" w:eastAsia="ru-RU"/>
              </w:rPr>
              <w:t>Valoarea ALT a pacientului (U/L). Este validat doar pentru fibroză și nu este validat pentru ciroză.</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lastRenderedPageBreak/>
              <w:t xml:space="preserve">FibroIndex </w:t>
            </w:r>
            <w:r w:rsidRPr="00FF5E27">
              <w:rPr>
                <w:rFonts w:ascii="Times New Roman" w:eastAsia="Times New Roman" w:hAnsi="Times New Roman" w:cs="Times New Roman"/>
                <w:sz w:val="24"/>
                <w:szCs w:val="24"/>
                <w:lang w:val="ro-RO" w:eastAsia="ru-RU"/>
              </w:rPr>
              <w:t xml:space="preserve">este o metodă simplă de notare constând din măsurarea a trei marcheri biochimici: AST, număr de trombocite și gamma globulină. </w:t>
            </w:r>
            <w:r w:rsidRPr="00FF5E27">
              <w:rPr>
                <w:rFonts w:ascii="Times New Roman" w:eastAsia="Times New Roman" w:hAnsi="Times New Roman" w:cs="Times New Roman"/>
                <w:i/>
                <w:iCs/>
                <w:sz w:val="24"/>
                <w:szCs w:val="24"/>
                <w:lang w:val="ro-RO" w:eastAsia="ru-RU"/>
              </w:rPr>
              <w:t>FibroIndex</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color w:val="232323"/>
                <w:sz w:val="24"/>
                <w:szCs w:val="24"/>
                <w:shd w:val="clear" w:color="auto" w:fill="FFFFFF"/>
                <w:lang w:val="ro-RO" w:eastAsia="ru-RU"/>
              </w:rPr>
              <w:t>[Hepatology. 2007;45(2):297.]. A fost propus ca marker al fibrozei semnificative în hepatita virală cronică C.</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lang w:val="ro-RO"/>
              </w:rPr>
              <w:t xml:space="preserve">Interpretare FIB-4: </w:t>
            </w:r>
            <w:hyperlink r:id="rId39" w:history="1">
              <w:r w:rsidRPr="00FF5E27">
                <w:rPr>
                  <w:rFonts w:ascii="Times New Roman" w:eastAsia="Times New Roman" w:hAnsi="Times New Roman" w:cs="Times New Roman"/>
                  <w:color w:val="0000FF"/>
                  <w:sz w:val="24"/>
                  <w:szCs w:val="24"/>
                  <w:u w:val="single"/>
                  <w:lang w:val="ro-RO" w:eastAsia="ru-RU"/>
                </w:rPr>
                <w:t>https://www.mdcalc.com/</w:t>
              </w:r>
            </w:hyperlink>
            <w:r w:rsidRPr="00FF5E27">
              <w:rPr>
                <w:rFonts w:ascii="Times New Roman" w:eastAsia="Times New Roman" w:hAnsi="Times New Roman" w:cs="Times New Roman"/>
                <w:sz w:val="24"/>
                <w:szCs w:val="24"/>
                <w:lang w:val="ro-RO"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5181"/>
            </w:tblGrid>
            <w:tr w:rsidR="00FF5E27" w:rsidRPr="00D645AA" w:rsidTr="00FF5E27">
              <w:tc>
                <w:tcPr>
                  <w:tcW w:w="2108" w:type="pct"/>
                  <w:shd w:val="clear" w:color="auto" w:fill="auto"/>
                  <w:noWrap/>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b/>
                      <w:bCs/>
                      <w:color w:val="353535"/>
                      <w:sz w:val="24"/>
                      <w:szCs w:val="24"/>
                      <w:lang w:val="ro-RO"/>
                    </w:rPr>
                    <w:t>Puncte &lt;1,45:</w:t>
                  </w:r>
                </w:p>
              </w:tc>
              <w:tc>
                <w:tcPr>
                  <w:tcW w:w="289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color w:val="000000"/>
                      <w:sz w:val="24"/>
                      <w:szCs w:val="24"/>
                      <w:lang w:val="ro-RO"/>
                    </w:rPr>
                    <w:t>Ciroza este mai puțin probabilă</w:t>
                  </w:r>
                </w:p>
              </w:tc>
            </w:tr>
            <w:tr w:rsidR="00FF5E27" w:rsidRPr="00D645AA" w:rsidTr="00FF5E27">
              <w:tc>
                <w:tcPr>
                  <w:tcW w:w="2108" w:type="pct"/>
                  <w:shd w:val="clear" w:color="auto" w:fill="auto"/>
                  <w:noWrap/>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b/>
                      <w:bCs/>
                      <w:color w:val="353535"/>
                      <w:sz w:val="24"/>
                      <w:szCs w:val="24"/>
                      <w:lang w:val="ro-RO"/>
                    </w:rPr>
                    <w:t>Puncte ≥1,45 și ≤3,25:</w:t>
                  </w:r>
                </w:p>
              </w:tc>
              <w:tc>
                <w:tcPr>
                  <w:tcW w:w="289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color w:val="000000"/>
                      <w:sz w:val="24"/>
                      <w:szCs w:val="24"/>
                      <w:lang w:val="ro-RO"/>
                    </w:rPr>
                    <w:t>Nedeterminat</w:t>
                  </w:r>
                </w:p>
              </w:tc>
            </w:tr>
            <w:tr w:rsidR="00FF5E27" w:rsidRPr="00D645AA" w:rsidTr="00FF5E27">
              <w:tc>
                <w:tcPr>
                  <w:tcW w:w="2108" w:type="pct"/>
                  <w:shd w:val="clear" w:color="auto" w:fill="auto"/>
                  <w:noWrap/>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b/>
                      <w:bCs/>
                      <w:color w:val="353535"/>
                      <w:sz w:val="24"/>
                      <w:szCs w:val="24"/>
                      <w:lang w:val="ro-RO"/>
                    </w:rPr>
                    <w:t>Puncte &gt;3,25:</w:t>
                  </w:r>
                </w:p>
              </w:tc>
              <w:tc>
                <w:tcPr>
                  <w:tcW w:w="289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color w:val="000000"/>
                      <w:sz w:val="24"/>
                      <w:szCs w:val="24"/>
                      <w:lang w:val="ro-RO"/>
                    </w:rPr>
                    <w:t>Ciroza este mai probabilă</w:t>
                  </w:r>
                </w:p>
              </w:tc>
            </w:tr>
          </w:tbl>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b/>
                <w:bCs/>
                <w:i/>
                <w:iCs/>
                <w:color w:val="232323"/>
                <w:sz w:val="24"/>
                <w:szCs w:val="24"/>
                <w:lang w:val="ro-RO"/>
              </w:rPr>
              <w:t>Abrevieri:</w:t>
            </w:r>
            <w:r w:rsidRPr="00FF5E27">
              <w:rPr>
                <w:rFonts w:ascii="Times New Roman" w:eastAsia="Times New Roman" w:hAnsi="Times New Roman" w:cs="Times New Roman"/>
                <w:color w:val="232323"/>
                <w:sz w:val="24"/>
                <w:szCs w:val="24"/>
                <w:lang w:val="ro-RO"/>
              </w:rPr>
              <w:t xml:space="preserve"> FIB-4 : Fibroză-4; ALT : alanin aminotransferaza; AST : aspartat aminotransferaza.</w:t>
            </w:r>
          </w:p>
          <w:p w:rsidR="00FF5E27" w:rsidRPr="00FF5E27" w:rsidRDefault="00FF5E27" w:rsidP="00FF5E27">
            <w:pPr>
              <w:shd w:val="clear" w:color="auto" w:fill="FFFFFF"/>
              <w:spacing w:after="0" w:line="240" w:lineRule="auto"/>
              <w:jc w:val="both"/>
              <w:rPr>
                <w:rFonts w:ascii="Times New Roman" w:eastAsia="Times New Roman" w:hAnsi="Times New Roman" w:cs="Times New Roman"/>
                <w:i/>
                <w:iCs/>
                <w:color w:val="232323"/>
                <w:sz w:val="24"/>
                <w:szCs w:val="24"/>
                <w:lang w:val="ro-RO"/>
              </w:rPr>
            </w:pPr>
            <w:r w:rsidRPr="00FF5E27">
              <w:rPr>
                <w:rFonts w:ascii="Times New Roman" w:eastAsia="Times New Roman" w:hAnsi="Times New Roman" w:cs="Times New Roman"/>
                <w:b/>
                <w:bCs/>
                <w:i/>
                <w:iCs/>
                <w:color w:val="232323"/>
                <w:sz w:val="24"/>
                <w:szCs w:val="24"/>
                <w:shd w:val="clear" w:color="auto" w:fill="FFFFFF"/>
                <w:lang w:val="ro-RO"/>
              </w:rPr>
              <w:t>Note:</w:t>
            </w:r>
          </w:p>
          <w:p w:rsidR="00FF5E27" w:rsidRPr="00FF5E27" w:rsidRDefault="00FF5E27" w:rsidP="00461D8F">
            <w:pPr>
              <w:numPr>
                <w:ilvl w:val="0"/>
                <w:numId w:val="50"/>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Intervalul normal de referință pentru trombocite este de aproximativ [150 până la 400 X 10 </w:t>
            </w:r>
            <w:r w:rsidRPr="00FF5E27">
              <w:rPr>
                <w:rFonts w:ascii="Times New Roman" w:eastAsia="Times New Roman" w:hAnsi="Times New Roman" w:cs="Times New Roman"/>
                <w:color w:val="232323"/>
                <w:sz w:val="24"/>
                <w:szCs w:val="24"/>
                <w:vertAlign w:val="superscript"/>
                <w:lang w:val="ro-RO"/>
              </w:rPr>
              <w:t>9</w:t>
            </w:r>
            <w:r w:rsidRPr="00FF5E27">
              <w:rPr>
                <w:rFonts w:ascii="Times New Roman" w:eastAsia="Times New Roman" w:hAnsi="Times New Roman" w:cs="Times New Roman"/>
                <w:color w:val="232323"/>
                <w:sz w:val="24"/>
                <w:szCs w:val="24"/>
                <w:lang w:val="ro-RO"/>
              </w:rPr>
              <w:t xml:space="preserve"> /L (unități SI)].</w:t>
            </w:r>
          </w:p>
          <w:p w:rsidR="00FF5E27" w:rsidRPr="00FF5E27" w:rsidRDefault="00FF5E27" w:rsidP="00461D8F">
            <w:pPr>
              <w:numPr>
                <w:ilvl w:val="0"/>
                <w:numId w:val="50"/>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Limitele de diagnostic ale indicelui </w:t>
            </w:r>
            <w:r w:rsidRPr="00FF5E27">
              <w:rPr>
                <w:rFonts w:ascii="Times New Roman" w:eastAsia="Times New Roman" w:hAnsi="Times New Roman" w:cs="Times New Roman"/>
                <w:b/>
                <w:bCs/>
                <w:color w:val="232323"/>
                <w:sz w:val="24"/>
                <w:szCs w:val="24"/>
                <w:lang w:val="ro-RO"/>
              </w:rPr>
              <w:t>FIB -4</w:t>
            </w:r>
            <w:r w:rsidRPr="00FF5E27">
              <w:rPr>
                <w:rFonts w:ascii="Times New Roman" w:eastAsia="Times New Roman" w:hAnsi="Times New Roman" w:cs="Times New Roman"/>
                <w:color w:val="232323"/>
                <w:sz w:val="24"/>
                <w:szCs w:val="24"/>
                <w:lang w:val="ro-RO"/>
              </w:rPr>
              <w:t xml:space="preserve"> produc o valoare predictivă negativă de 94,7% cu o sensibilitate de 73,4% și o valoare predictivă pozitivă de 82,1% cu o specificitate de 98,2%.</w:t>
            </w:r>
          </w:p>
          <w:p w:rsidR="00FF5E27" w:rsidRPr="00FF5E27" w:rsidRDefault="00FF5E27" w:rsidP="00461D8F">
            <w:pPr>
              <w:numPr>
                <w:ilvl w:val="0"/>
                <w:numId w:val="9"/>
              </w:numPr>
              <w:spacing w:before="100" w:after="0" w:line="240" w:lineRule="auto"/>
              <w:ind w:right="13"/>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iCs/>
                <w:sz w:val="24"/>
                <w:szCs w:val="24"/>
                <w:lang w:val="ro-RO" w:eastAsia="ru-RU"/>
              </w:rPr>
              <w:t>FibroTest/FibroSur</w:t>
            </w:r>
            <w:r w:rsidRPr="00FF5E27">
              <w:rPr>
                <w:rFonts w:ascii="Times New Roman" w:eastAsia="Times New Roman" w:hAnsi="Times New Roman" w:cs="Times New Roman"/>
                <w:iCs/>
                <w:sz w:val="24"/>
                <w:szCs w:val="24"/>
                <w:lang w:val="ro-RO" w:eastAsia="ru-RU"/>
              </w:rPr>
              <w:t xml:space="preserve"> </w:t>
            </w:r>
            <w:r w:rsidRPr="00FF5E27">
              <w:rPr>
                <w:rFonts w:ascii="Times New Roman" w:eastAsia="Times New Roman" w:hAnsi="Times New Roman" w:cs="Times New Roman"/>
                <w:b/>
                <w:iCs/>
                <w:sz w:val="24"/>
                <w:szCs w:val="24"/>
                <w:lang w:val="ro-RO" w:eastAsia="ru-RU"/>
              </w:rPr>
              <w:t xml:space="preserve">ActiTest </w:t>
            </w:r>
            <w:r w:rsidRPr="00FF5E27">
              <w:rPr>
                <w:rFonts w:ascii="Times New Roman" w:eastAsia="Times New Roman" w:hAnsi="Times New Roman" w:cs="Times New Roman"/>
                <w:b/>
                <w:sz w:val="24"/>
                <w:szCs w:val="24"/>
                <w:lang w:val="ro-RO" w:eastAsia="ru-RU"/>
              </w:rPr>
              <w:t>-</w:t>
            </w:r>
            <w:r w:rsidRPr="00FF5E27">
              <w:rPr>
                <w:rFonts w:ascii="Times New Roman" w:eastAsia="Times New Roman" w:hAnsi="Times New Roman" w:cs="Times New Roman"/>
                <w:sz w:val="24"/>
                <w:szCs w:val="24"/>
                <w:lang w:val="ro-RO" w:eastAsia="ru-RU"/>
              </w:rPr>
              <w:t xml:space="preserve"> utilizate pentru evaluarea fibrozei hepatice și a inflamației.</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i/>
                <w:sz w:val="24"/>
                <w:szCs w:val="24"/>
                <w:lang w:val="ro-RO" w:eastAsia="ru-RU"/>
              </w:rPr>
              <w:t xml:space="preserve">FibroTest </w:t>
            </w:r>
            <w:r w:rsidRPr="00FF5E27">
              <w:rPr>
                <w:rFonts w:ascii="Times New Roman" w:eastAsia="Times New Roman" w:hAnsi="Times New Roman" w:cs="Times New Roman"/>
                <w:sz w:val="24"/>
                <w:szCs w:val="24"/>
                <w:lang w:val="ro-RO" w:eastAsia="ru-RU"/>
              </w:rPr>
              <w:t xml:space="preserve">estimează fibroza hepatică, folosind un algoritm care include vârsta și sexul pacientului împreună cu cinci marcheri biochimici asociați cu fibroza hepatică: alfa-2-macroglobulină, haptoglobină, GGTP, apolipoproteină A1 și bilirubină totală.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i/>
                <w:sz w:val="24"/>
                <w:szCs w:val="24"/>
                <w:lang w:val="ro-RO" w:eastAsia="ru-RU"/>
              </w:rPr>
              <w:t>ActiTest</w:t>
            </w:r>
            <w:r w:rsidRPr="00FF5E27">
              <w:rPr>
                <w:rFonts w:ascii="Times New Roman" w:eastAsia="Times New Roman" w:hAnsi="Times New Roman" w:cs="Times New Roman"/>
                <w:b/>
                <w:bCs/>
                <w:iCs/>
                <w:sz w:val="24"/>
                <w:szCs w:val="24"/>
                <w:lang w:val="ro-RO" w:eastAsia="ru-RU"/>
              </w:rPr>
              <w:t xml:space="preserve"> </w:t>
            </w:r>
            <w:r w:rsidRPr="00FF5E27">
              <w:rPr>
                <w:rFonts w:ascii="Times New Roman" w:eastAsia="Times New Roman" w:hAnsi="Times New Roman" w:cs="Times New Roman"/>
                <w:sz w:val="24"/>
                <w:szCs w:val="24"/>
                <w:lang w:val="ro-RO" w:eastAsia="ru-RU"/>
              </w:rPr>
              <w:t xml:space="preserve">estimează inflamația hepatică, folosind un algoritm care adaugă un marker direct pentru activitatea inflamatorie (valoarea ALT) la aceiași cinci parametri din </w:t>
            </w:r>
            <w:r w:rsidRPr="00FF5E27">
              <w:rPr>
                <w:rFonts w:ascii="Times New Roman" w:eastAsia="Times New Roman" w:hAnsi="Times New Roman" w:cs="Times New Roman"/>
                <w:i/>
                <w:iCs/>
                <w:sz w:val="24"/>
                <w:szCs w:val="24"/>
                <w:lang w:val="ro-RO" w:eastAsia="ru-RU"/>
              </w:rPr>
              <w:t>FibroTest</w:t>
            </w:r>
            <w:r w:rsidRPr="00FF5E27">
              <w:rPr>
                <w:rFonts w:ascii="Times New Roman" w:eastAsia="Times New Roman" w:hAnsi="Times New Roman" w:cs="Times New Roman"/>
                <w:sz w:val="24"/>
                <w:szCs w:val="24"/>
                <w:lang w:val="ro-RO" w:eastAsia="ru-RU"/>
              </w:rPr>
              <w:t xml:space="preserve">.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Precauție în utilizarea marcherilor biologici pentru stadializarea fibrozei includ prezența oricăreia dintre următoarele: boala Gilbert, hemoliza acută, inflamație acută hepatică, colestază extrahepatică, insuficiență renală, post-transplant, administrarea de medicamente care pot provoca hiperbilirubinemie neconjugată.</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i/>
                <w:sz w:val="24"/>
                <w:szCs w:val="24"/>
                <w:lang w:val="ro-RO" w:eastAsia="ru-RU"/>
              </w:rPr>
              <w:t>FibroTest</w:t>
            </w:r>
            <w:r w:rsidRPr="00FF5E27">
              <w:rPr>
                <w:rFonts w:ascii="Times New Roman" w:eastAsia="Times New Roman" w:hAnsi="Times New Roman" w:cs="Times New Roman"/>
                <w:sz w:val="24"/>
                <w:szCs w:val="24"/>
                <w:lang w:val="ro-RO" w:eastAsia="ru-RU"/>
              </w:rPr>
              <w:t xml:space="preserve"> este bun în infecția cronică cu VHC pentru a exclude sau a confirma ciroza dar, ca și alți biomarcheri, acest test este neclar în discriminarea intervalelor medii și marcheri adiționali ai fibrozei ar fi necesari în aceste situații.</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FibroMax</w:t>
            </w:r>
            <w:r w:rsidRPr="00FF5E27">
              <w:rPr>
                <w:rFonts w:ascii="Times New Roman" w:eastAsia="Times New Roman" w:hAnsi="Times New Roman" w:cs="Times New Roman"/>
                <w:sz w:val="24"/>
                <w:szCs w:val="24"/>
                <w:lang w:val="ro-RO" w:eastAsia="ru-RU"/>
              </w:rPr>
              <w:t xml:space="preserve"> oferă informaţii referitoare la diagnosticul: fibrozei hepatice, procesului necroinflamator al ficatului, steatozei hepatice, steatohepatitei alcoolice la pacienţii cu etilism cronic, steatohepatitei nonalcoolice la pacienţii cu obezitate, rezistenţă la insulină, hiperlipidemie, diabet. Rezultatele </w:t>
            </w:r>
            <w:r w:rsidRPr="00FF5E27">
              <w:rPr>
                <w:rFonts w:ascii="Times New Roman" w:eastAsia="Times New Roman" w:hAnsi="Times New Roman" w:cs="Times New Roman"/>
                <w:i/>
                <w:iCs/>
                <w:sz w:val="24"/>
                <w:szCs w:val="24"/>
                <w:lang w:val="ro-RO" w:eastAsia="ru-RU"/>
              </w:rPr>
              <w:t>FibroMax</w:t>
            </w:r>
            <w:r w:rsidRPr="00FF5E27">
              <w:rPr>
                <w:rFonts w:ascii="Times New Roman" w:eastAsia="Times New Roman" w:hAnsi="Times New Roman" w:cs="Times New Roman"/>
                <w:sz w:val="24"/>
                <w:szCs w:val="24"/>
                <w:lang w:val="ro-RO" w:eastAsia="ru-RU"/>
              </w:rPr>
              <w:t xml:space="preserve"> sunt exprimate pe scale numerice. Este puţin sensibilă în diferenţierea stadiilor de fibroză uşoară-moderată (F2, F3).</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shd w:val="clear" w:color="auto" w:fill="FFFFFF"/>
                <w:lang w:val="ro-RO" w:eastAsia="ru-RU"/>
              </w:rPr>
              <w:t>Elastografia</w:t>
            </w:r>
            <w:r w:rsidRPr="00FF5E27">
              <w:rPr>
                <w:rFonts w:ascii="Times New Roman" w:eastAsia="Times New Roman" w:hAnsi="Times New Roman" w:cs="Times New Roman"/>
                <w:sz w:val="24"/>
                <w:szCs w:val="24"/>
                <w:shd w:val="clear" w:color="auto" w:fill="FFFFFF"/>
                <w:lang w:val="ro-RO" w:eastAsia="ru-RU"/>
              </w:rPr>
              <w:t xml:space="preserve"> estimează rigiditatea ficatului prin aplicarea undelor mecanice și măsurarea vitezei de propagare a acestora prin țesut folosind imagini. Opțiunile de modalități includ ultrasunete (adică, elastografie tranzitorie [TE], imagistica cu impuls de forță de radiație acustică [ARFI], elastografie bidimensională [2D] cu undă de forfecare [SWE]) și RMN (adică, elastografie prin rezonanță magnetică [MRE]). 2D-SWE și MRE pot fi integrate cu imagistica hepatică morfologică convențională în aceeași ședință.</w:t>
            </w:r>
            <w:r w:rsidRPr="00FF5E27">
              <w:rPr>
                <w:rFonts w:ascii="Times New Roman" w:eastAsia="Times New Roman" w:hAnsi="Times New Roman" w:cs="Times New Roman"/>
                <w:sz w:val="24"/>
                <w:szCs w:val="24"/>
                <w:lang w:val="ro-RO" w:eastAsia="ru-RU"/>
              </w:rPr>
              <w:t xml:space="preserve"> Elastografia de tulpină prezintă mișcarea țesuturilor de-a lungul căii și SWE tangențială la calea forței mecanice aplicate.</w:t>
            </w:r>
          </w:p>
          <w:p w:rsidR="00FF5E27" w:rsidRPr="00FF5E27" w:rsidRDefault="00FF5E27" w:rsidP="00461D8F">
            <w:pPr>
              <w:numPr>
                <w:ilvl w:val="0"/>
                <w:numId w:val="48"/>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Tehnica de elastografie bazată pe ultrasunete utilizată în practica clinică pentru evaluarea rigidității hepatice este elastografia cu unde de forfecare (SWE). Țesutul fibrotic diferă de țesutul sănătos prin modul în care răspunde la excitație (adică undele de forfecare se propagă mai repede în țesutul fibrotic). </w:t>
            </w:r>
          </w:p>
          <w:p w:rsidR="00FF5E27" w:rsidRPr="00FF5E27" w:rsidRDefault="00FF5E27" w:rsidP="00461D8F">
            <w:pPr>
              <w:numPr>
                <w:ilvl w:val="0"/>
                <w:numId w:val="48"/>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Există mai multe metode pentru efectuarea SWE, inclusiv elastografia tranzitorie, punct-SWE și bidimensional-SWE - (2D)-SWE. Punct-SWE (Point-SWE) și 2D-SWE </w:t>
            </w:r>
            <w:r w:rsidRPr="00FF5E27">
              <w:rPr>
                <w:rFonts w:ascii="Times New Roman" w:eastAsia="Times New Roman" w:hAnsi="Times New Roman" w:cs="Times New Roman"/>
                <w:color w:val="232323"/>
                <w:sz w:val="24"/>
                <w:szCs w:val="24"/>
                <w:lang w:val="ro-RO"/>
              </w:rPr>
              <w:lastRenderedPageBreak/>
              <w:t xml:space="preserve">utilizează impulsul de forță de radiație acustică (ARFI) pentru a genera unde de forfecare. ARFI folosește impulsuri de „împingere” a forței de radiație acustică concentrată pentru a deforma țesutul și a genera unde de forfecare de amplitudine mică. Undele de forfecare rezultate sunt urmărite și este afișată distribuția deplasării sau valoarea sa normalizată. Măsurătorile vitezei undei de forfecare sunt luate fie dintr-o zonă mică (de obicei 5 pe 10 mm, punct-SWE), fie din puncte de măsurare secvențială (2D-SWE). </w:t>
            </w:r>
          </w:p>
          <w:p w:rsidR="00FF5E27" w:rsidRPr="00FF5E27" w:rsidRDefault="00FF5E27" w:rsidP="00461D8F">
            <w:pPr>
              <w:numPr>
                <w:ilvl w:val="0"/>
                <w:numId w:val="49"/>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În elastografia tranzitorie, undele de forfecare sunt generate de un piston mecanic cu un traductor cu ultrasunete cu un singur element. Este folosit pentru a împinge ușor pielea peste un spațiu intercostal, rezultând o undă de forfecare care se deplasează prin ficat. Măsurătorile sunt apoi luate de-a lungul direcției fasciculului de ultrasunete.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Valori ale elastografiei tranzitorii pentru fiecare etapă a fibrozei după Metavir la persoanele cu afecțiuni hepatice determinate de infecția cu virusul hepatitei C:</w:t>
            </w:r>
          </w:p>
          <w:p w:rsidR="00FF5E27" w:rsidRPr="00FF5E27" w:rsidRDefault="00FF5E27" w:rsidP="00461D8F">
            <w:pPr>
              <w:numPr>
                <w:ilvl w:val="0"/>
                <w:numId w:val="18"/>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2,5-7,0 kPa - F0-F1 (fibroză absentă sau ușoară)</w:t>
            </w:r>
          </w:p>
          <w:p w:rsidR="00FF5E27" w:rsidRPr="00FF5E27" w:rsidRDefault="00FF5E27" w:rsidP="00461D8F">
            <w:pPr>
              <w:numPr>
                <w:ilvl w:val="0"/>
                <w:numId w:val="18"/>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7,0-9,5 kPa - F2 (fibroză semnificativă)</w:t>
            </w:r>
          </w:p>
          <w:p w:rsidR="00FF5E27" w:rsidRPr="00FF5E27" w:rsidRDefault="00FF5E27" w:rsidP="00461D8F">
            <w:pPr>
              <w:numPr>
                <w:ilvl w:val="0"/>
                <w:numId w:val="18"/>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9.5-12.5 kPa - F3 (fibroză severă)</w:t>
            </w:r>
          </w:p>
          <w:p w:rsidR="00FF5E27" w:rsidRPr="00FF5E27" w:rsidRDefault="00FF5E27" w:rsidP="00461D8F">
            <w:pPr>
              <w:numPr>
                <w:ilvl w:val="0"/>
                <w:numId w:val="18"/>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&gt; 12,5 kPa - F4 (ciroză)***</w:t>
            </w:r>
          </w:p>
        </w:tc>
      </w:tr>
    </w:tbl>
    <w:p w:rsidR="00FF5E27" w:rsidRPr="00FF5E27" w:rsidRDefault="00FF5E27" w:rsidP="00FF5E27">
      <w:pPr>
        <w:spacing w:after="0" w:line="240" w:lineRule="auto"/>
        <w:jc w:val="both"/>
        <w:rPr>
          <w:rFonts w:ascii="Times New Roman" w:eastAsia="Times New Roman" w:hAnsi="Times New Roman" w:cs="Times New Roman"/>
          <w:b/>
          <w:i/>
          <w:iCs/>
          <w:sz w:val="24"/>
          <w:szCs w:val="24"/>
          <w:lang w:val="ro-RO" w:eastAsia="ru-RU"/>
        </w:rPr>
      </w:pPr>
      <w:r w:rsidRPr="00FF5E27">
        <w:rPr>
          <w:rFonts w:ascii="Times New Roman" w:eastAsia="Times New Roman" w:hAnsi="Times New Roman" w:cs="Times New Roman"/>
          <w:b/>
          <w:i/>
          <w:iCs/>
          <w:sz w:val="24"/>
          <w:szCs w:val="24"/>
          <w:lang w:val="ro-RO" w:eastAsia="ru-RU"/>
        </w:rPr>
        <w:lastRenderedPageBreak/>
        <w:t xml:space="preserve">Notă: </w:t>
      </w:r>
    </w:p>
    <w:p w:rsidR="00FF5E27" w:rsidRPr="00FF5E27" w:rsidRDefault="00FF5E27" w:rsidP="00FF5E27">
      <w:pPr>
        <w:spacing w:after="0" w:line="240" w:lineRule="auto"/>
        <w:jc w:val="both"/>
        <w:rPr>
          <w:rFonts w:ascii="Times New Roman" w:eastAsia="Times New Roman" w:hAnsi="Times New Roman" w:cs="Times New Roman"/>
          <w:iCs/>
          <w:sz w:val="24"/>
          <w:szCs w:val="24"/>
          <w:lang w:val="ro-RO" w:eastAsia="ru-RU"/>
        </w:rPr>
      </w:pPr>
      <w:r w:rsidRPr="00FF5E27">
        <w:rPr>
          <w:rFonts w:ascii="Times New Roman" w:eastAsia="Times New Roman" w:hAnsi="Times New Roman" w:cs="Times New Roman"/>
          <w:iCs/>
          <w:sz w:val="24"/>
          <w:szCs w:val="24"/>
          <w:lang w:val="ro-RO" w:eastAsia="ru-RU"/>
        </w:rPr>
        <w:t xml:space="preserve">* Scorul APRI are utilitate pentru a prezice fibroza severă/ciroza sau riscul scăzut de fibroză semnificativă. Scor APRI ≥1,0 - sensibilitate de 61 - 76% și specificitate de 64 - 72% pentru detectarea fibrozei grave/cirozei (F3 - F4 Metavir). APRI ≥ 2,0 - sensibilitate de 46% și specificitate de 91% pentru detectarea cirozei. </w:t>
      </w:r>
    </w:p>
    <w:p w:rsidR="00FF5E27" w:rsidRPr="00FF5E27" w:rsidRDefault="00FF5E27" w:rsidP="00FF5E27">
      <w:pPr>
        <w:spacing w:after="0" w:line="240" w:lineRule="auto"/>
        <w:jc w:val="both"/>
        <w:rPr>
          <w:rFonts w:ascii="Times New Roman" w:eastAsia="Times New Roman" w:hAnsi="Times New Roman" w:cs="Times New Roman"/>
          <w:iCs/>
          <w:sz w:val="24"/>
          <w:szCs w:val="24"/>
          <w:lang w:val="ro-RO" w:eastAsia="ru-RU"/>
        </w:rPr>
      </w:pPr>
      <w:r w:rsidRPr="00FF5E27">
        <w:rPr>
          <w:rFonts w:ascii="Times New Roman" w:eastAsia="Times New Roman" w:hAnsi="Times New Roman" w:cs="Times New Roman"/>
          <w:iCs/>
          <w:sz w:val="24"/>
          <w:szCs w:val="24"/>
          <w:lang w:val="ro-RO" w:eastAsia="ru-RU"/>
        </w:rPr>
        <w:t>** Scorul FIB-4&lt;1,45 a avut o valoare predictivă negativă de 90% pentru fibroza avansată. Scorul FIB-4&gt;3.25 ar avea o specificitate de 97% și o valoare predictivă pozitivă de 65% pentru fibroza avansată.</w:t>
      </w:r>
    </w:p>
    <w:p w:rsidR="00FF5E27" w:rsidRPr="00FF5E27" w:rsidRDefault="00FF5E27" w:rsidP="00FF5E27">
      <w:pPr>
        <w:spacing w:after="0" w:line="240" w:lineRule="auto"/>
        <w:jc w:val="both"/>
        <w:rPr>
          <w:rFonts w:ascii="Times New Roman" w:eastAsia="Times New Roman" w:hAnsi="Times New Roman" w:cs="Times New Roman"/>
          <w:iCs/>
          <w:sz w:val="24"/>
          <w:szCs w:val="24"/>
          <w:lang w:val="ro-RO" w:eastAsia="ru-RU"/>
        </w:rPr>
      </w:pPr>
      <w:r w:rsidRPr="00FF5E27">
        <w:rPr>
          <w:rFonts w:ascii="Times New Roman" w:eastAsia="Times New Roman" w:hAnsi="Times New Roman" w:cs="Times New Roman"/>
          <w:iCs/>
          <w:sz w:val="24"/>
          <w:szCs w:val="24"/>
          <w:lang w:val="ro-RO" w:eastAsia="ru-RU"/>
        </w:rPr>
        <w:t>*** Persoanele cu rigiditatea hepatică determinată prin elastografie tranzitorie cu valori ≥ 12,5 kPa sau un scor APRI ≥ 1.0 pot avea ciroză hepatică și ar trebui să fie referite la un specialist.</w:t>
      </w:r>
    </w:p>
    <w:p w:rsidR="00FF5E27" w:rsidRPr="00FF5E27" w:rsidRDefault="00FF5E27" w:rsidP="00FF5E27">
      <w:pPr>
        <w:spacing w:after="0" w:line="240" w:lineRule="auto"/>
        <w:jc w:val="both"/>
        <w:rPr>
          <w:rFonts w:ascii="Times New Roman" w:eastAsia="Times New Roman" w:hAnsi="Times New Roman" w:cs="Times New Roman"/>
          <w:iCs/>
          <w:sz w:val="24"/>
          <w:szCs w:val="24"/>
          <w:lang w:val="ro-RO" w:eastAsia="ru-RU"/>
        </w:rPr>
      </w:pPr>
      <w:r w:rsidRPr="00FF5E27">
        <w:rPr>
          <w:rFonts w:ascii="Times New Roman" w:eastAsia="Times New Roman" w:hAnsi="Times New Roman" w:cs="Times New Roman"/>
          <w:b/>
          <w:bCs/>
          <w:i/>
          <w:sz w:val="24"/>
          <w:szCs w:val="24"/>
          <w:lang w:val="ro-RO" w:eastAsia="ru-RU"/>
        </w:rPr>
        <w:t>^</w:t>
      </w:r>
      <w:r w:rsidRPr="00FF5E27">
        <w:rPr>
          <w:rFonts w:ascii="Times New Roman" w:eastAsia="Times New Roman" w:hAnsi="Times New Roman" w:cs="Times New Roman"/>
          <w:sz w:val="24"/>
          <w:szCs w:val="24"/>
          <w:lang w:val="ro-RO" w:eastAsia="ru-RU"/>
        </w:rPr>
        <w:t xml:space="preserve"> Î</w:t>
      </w:r>
      <w:r w:rsidRPr="00FF5E27">
        <w:rPr>
          <w:rFonts w:ascii="Times New Roman" w:eastAsia="Times New Roman" w:hAnsi="Times New Roman" w:cs="Times New Roman"/>
          <w:iCs/>
          <w:sz w:val="24"/>
          <w:szCs w:val="24"/>
          <w:lang w:val="ro-RO" w:eastAsia="ru-RU"/>
        </w:rPr>
        <w:t xml:space="preserve">n practica clinică mai mulți factori, cum ar fi inflamația hepatică, obezitatea, ingestia unei mese în 2 ore până la testare, ascita și presiunea venoasă centrală crescută pot influența rezultat elastografiei tranzitorii. </w:t>
      </w:r>
      <w:r w:rsidRPr="00FF5E27">
        <w:rPr>
          <w:rFonts w:ascii="Times New Roman" w:eastAsia="Times New Roman" w:hAnsi="Times New Roman" w:cs="Times New Roman"/>
          <w:b/>
          <w:bCs/>
          <w:iCs/>
          <w:sz w:val="24"/>
          <w:szCs w:val="24"/>
          <w:lang w:val="ro-RO" w:eastAsia="ru-RU"/>
        </w:rPr>
        <w:t>Elastografia tranzitorie este contraindicată la cei cu stimulatoare cardiace și defibrilatoare implantabile.</w:t>
      </w:r>
      <w:r w:rsidRPr="00FF5E27">
        <w:rPr>
          <w:rFonts w:ascii="Times New Roman" w:eastAsia="Times New Roman" w:hAnsi="Times New Roman" w:cs="Times New Roman"/>
          <w:iCs/>
          <w:sz w:val="24"/>
          <w:szCs w:val="24"/>
          <w:lang w:val="ro-RO" w:eastAsia="ru-RU"/>
        </w:rPr>
        <w:t xml:space="preserve"> În ciuda acestor limitări, elastografia tranzitorie este una dintre metodele noninvazive mai fiabile pentru estimarea fibrozei metavirice F3 sau mai mare.</w:t>
      </w:r>
    </w:p>
    <w:p w:rsidR="00FF5E27" w:rsidRPr="00FF5E27" w:rsidRDefault="00FF5E27" w:rsidP="00FF5E27">
      <w:pPr>
        <w:spacing w:after="0" w:line="240" w:lineRule="auto"/>
        <w:jc w:val="both"/>
        <w:rPr>
          <w:rFonts w:ascii="Times New Roman" w:eastAsia="Times New Roman" w:hAnsi="Times New Roman" w:cs="Times New Roman"/>
          <w:i/>
          <w:sz w:val="24"/>
          <w:szCs w:val="24"/>
          <w:lang w:val="ro-RO" w:eastAsia="ru-RU"/>
        </w:rPr>
      </w:pPr>
      <w:r w:rsidRPr="00FF5E27">
        <w:rPr>
          <w:rFonts w:ascii="Times New Roman" w:eastAsia="Times New Roman" w:hAnsi="Times New Roman" w:cs="Times New Roman"/>
          <w:b/>
          <w:bCs/>
          <w:iCs/>
          <w:sz w:val="24"/>
          <w:szCs w:val="24"/>
          <w:lang w:val="ro-RO" w:eastAsia="ru-RU"/>
        </w:rPr>
        <w:t>^</w:t>
      </w:r>
      <w:r w:rsidRPr="00FF5E27">
        <w:rPr>
          <w:rFonts w:ascii="Times New Roman" w:eastAsia="Times New Roman" w:hAnsi="Times New Roman" w:cs="Times New Roman"/>
          <w:iCs/>
          <w:sz w:val="24"/>
          <w:szCs w:val="24"/>
          <w:lang w:val="ro-RO" w:eastAsia="ru-RU"/>
        </w:rPr>
        <w:t xml:space="preserve">La pacienții cu hepatită virală C cronică, Asociația Gastroenterologică Americană (AGA) recomandă Elastografie tranzitorie controlată de vibrații (VCTE), dacă este disponibil, mai curând decât teste serice neinvazive, (APRI, FIB-4) pentru a detecta ciroza. </w:t>
      </w:r>
      <w:r w:rsidRPr="00FF5E27">
        <w:rPr>
          <w:rFonts w:ascii="Times New Roman" w:eastAsia="Times New Roman" w:hAnsi="Times New Roman" w:cs="Times New Roman"/>
          <w:i/>
          <w:sz w:val="24"/>
          <w:szCs w:val="24"/>
          <w:lang w:val="ro-RO" w:eastAsia="ru-RU"/>
        </w:rPr>
        <w:t>Recomandare puternică, calitate moderată de probe.</w:t>
      </w:r>
    </w:p>
    <w:p w:rsidR="00FF5E27" w:rsidRPr="00FF5E27" w:rsidRDefault="00FF5E27" w:rsidP="00FF5E27">
      <w:pPr>
        <w:spacing w:after="0" w:line="240" w:lineRule="auto"/>
        <w:jc w:val="both"/>
        <w:rPr>
          <w:rFonts w:ascii="Times New Roman" w:eastAsia="Times New Roman" w:hAnsi="Times New Roman" w:cs="Times New Roman"/>
          <w:i/>
          <w:sz w:val="24"/>
          <w:szCs w:val="24"/>
          <w:lang w:val="ro-RO" w:eastAsia="ru-RU"/>
        </w:rPr>
      </w:pPr>
      <w:r w:rsidRPr="00FF5E27">
        <w:rPr>
          <w:rFonts w:ascii="Times New Roman" w:eastAsia="Times New Roman" w:hAnsi="Times New Roman" w:cs="Times New Roman"/>
          <w:iCs/>
          <w:sz w:val="24"/>
          <w:szCs w:val="24"/>
          <w:lang w:val="ro-RO" w:eastAsia="ru-RU"/>
        </w:rPr>
        <w:t xml:space="preserve">La pacienții cu hepatită virală C cronică, AGA sugerează utilizarea VCTE mai curând decât elastografia prin rezonanță magnetică pentru detectarea cirozei. </w:t>
      </w:r>
      <w:r w:rsidRPr="00FF5E27">
        <w:rPr>
          <w:rFonts w:ascii="Times New Roman" w:eastAsia="Times New Roman" w:hAnsi="Times New Roman" w:cs="Times New Roman"/>
          <w:i/>
          <w:sz w:val="24"/>
          <w:szCs w:val="24"/>
          <w:lang w:val="ro-RO" w:eastAsia="ru-RU"/>
        </w:rPr>
        <w:t>Recomandare condiționată, dovezi de foarte slabă calitate.</w:t>
      </w:r>
    </w:p>
    <w:p w:rsidR="00FF5E27" w:rsidRPr="00FF5E27" w:rsidRDefault="00FF5E27" w:rsidP="00FF5E27">
      <w:pPr>
        <w:spacing w:after="0" w:line="240" w:lineRule="auto"/>
        <w:jc w:val="both"/>
        <w:rPr>
          <w:rFonts w:ascii="Times New Roman" w:eastAsia="Times New Roman" w:hAnsi="Times New Roman" w:cs="Times New Roman"/>
          <w:b/>
          <w:bCs/>
          <w:iCs/>
          <w:sz w:val="24"/>
          <w:szCs w:val="24"/>
          <w:lang w:val="ro-RO" w:eastAsia="ru-RU"/>
        </w:rPr>
      </w:pPr>
    </w:p>
    <w:p w:rsidR="00FF5E27" w:rsidRPr="00FF5E27" w:rsidRDefault="00FF5E27" w:rsidP="00FF5E27">
      <w:pPr>
        <w:spacing w:after="0" w:line="240" w:lineRule="auto"/>
        <w:jc w:val="both"/>
        <w:rPr>
          <w:rFonts w:ascii="Times New Roman" w:eastAsia="Times New Roman" w:hAnsi="Times New Roman" w:cs="Times New Roman"/>
          <w:b/>
          <w:bCs/>
          <w:color w:val="232323"/>
          <w:sz w:val="24"/>
          <w:szCs w:val="24"/>
          <w:lang w:val="ro-RO" w:eastAsia="ru-RU"/>
        </w:rPr>
      </w:pPr>
      <w:r w:rsidRPr="00FF5E27">
        <w:rPr>
          <w:rFonts w:ascii="Times New Roman" w:eastAsia="Times New Roman" w:hAnsi="Times New Roman" w:cs="Times New Roman"/>
          <w:b/>
          <w:bCs/>
          <w:iCs/>
          <w:sz w:val="24"/>
          <w:szCs w:val="24"/>
          <w:lang w:val="ro-RO" w:eastAsia="ru-RU"/>
        </w:rPr>
        <w:t xml:space="preserve">Tabelul </w:t>
      </w:r>
      <w:r w:rsidR="00955272">
        <w:rPr>
          <w:rFonts w:ascii="Times New Roman" w:eastAsia="Times New Roman" w:hAnsi="Times New Roman" w:cs="Times New Roman"/>
          <w:b/>
          <w:bCs/>
          <w:iCs/>
          <w:sz w:val="24"/>
          <w:szCs w:val="24"/>
          <w:lang w:val="ro-RO" w:eastAsia="ru-RU"/>
        </w:rPr>
        <w:t>7</w:t>
      </w:r>
      <w:r w:rsidRPr="00FF5E27">
        <w:rPr>
          <w:rFonts w:ascii="Times New Roman" w:eastAsia="Times New Roman" w:hAnsi="Times New Roman" w:cs="Times New Roman"/>
          <w:b/>
          <w:bCs/>
          <w:iCs/>
          <w:sz w:val="24"/>
          <w:szCs w:val="24"/>
          <w:lang w:val="ro-RO" w:eastAsia="ru-RU"/>
        </w:rPr>
        <w:t xml:space="preserve">. </w:t>
      </w:r>
      <w:r w:rsidRPr="00FF5E27">
        <w:rPr>
          <w:rFonts w:ascii="Times New Roman" w:eastAsia="Times New Roman" w:hAnsi="Times New Roman" w:cs="Times New Roman"/>
          <w:b/>
          <w:bCs/>
          <w:color w:val="232323"/>
          <w:sz w:val="24"/>
          <w:szCs w:val="24"/>
          <w:lang w:val="ro-RO" w:eastAsia="ru-RU"/>
        </w:rPr>
        <w:t>Avantajele și dezavantajele metodelor neinvazive de evaluare a fibrozei hepatice</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1621"/>
        <w:gridCol w:w="1621"/>
        <w:gridCol w:w="1621"/>
        <w:gridCol w:w="1620"/>
        <w:gridCol w:w="1521"/>
      </w:tblGrid>
      <w:tr w:rsidR="00FF5E27" w:rsidRPr="00FF5E27" w:rsidTr="00915F05">
        <w:tc>
          <w:tcPr>
            <w:tcW w:w="64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Parametrii</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Elastografie tranzitorie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pARFI</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2D-SWE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Elastografie MR</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Biomarkeri serici</w:t>
            </w:r>
          </w:p>
        </w:tc>
      </w:tr>
      <w:tr w:rsidR="00FF5E27" w:rsidRPr="00FF5E27" w:rsidTr="00915F05">
        <w:tc>
          <w:tcPr>
            <w:tcW w:w="642" w:type="pct"/>
            <w:vMerge w:val="restar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Avantaje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Precizie ridicată, </w:t>
            </w:r>
            <w:r w:rsidRPr="00FF5E27">
              <w:rPr>
                <w:rFonts w:ascii="Times New Roman" w:eastAsia="Times New Roman" w:hAnsi="Times New Roman" w:cs="Times New Roman"/>
                <w:sz w:val="24"/>
                <w:szCs w:val="24"/>
                <w:lang w:val="ro-RO" w:eastAsia="ru-RU"/>
              </w:rPr>
              <w:lastRenderedPageBreak/>
              <w:t>rezultate rapide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 xml:space="preserve">Precizie ridicată, </w:t>
            </w:r>
            <w:r w:rsidRPr="00FF5E27">
              <w:rPr>
                <w:rFonts w:ascii="Times New Roman" w:eastAsia="Times New Roman" w:hAnsi="Times New Roman" w:cs="Times New Roman"/>
                <w:sz w:val="24"/>
                <w:szCs w:val="24"/>
                <w:lang w:val="ro-RO" w:eastAsia="ru-RU"/>
              </w:rPr>
              <w:lastRenderedPageBreak/>
              <w:t>rezultate rapide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 xml:space="preserve">Precizie ridicată, </w:t>
            </w:r>
            <w:r w:rsidRPr="00FF5E27">
              <w:rPr>
                <w:rFonts w:ascii="Times New Roman" w:eastAsia="Times New Roman" w:hAnsi="Times New Roman" w:cs="Times New Roman"/>
                <w:sz w:val="24"/>
                <w:szCs w:val="24"/>
                <w:lang w:val="ro-RO" w:eastAsia="ru-RU"/>
              </w:rPr>
              <w:lastRenderedPageBreak/>
              <w:t>rezultate rapide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Precizie ridicată</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Disponibilitate</w:t>
            </w:r>
          </w:p>
        </w:tc>
      </w:tr>
      <w:tr w:rsidR="00FF5E27" w:rsidRPr="00FF5E27"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Reproductibilitatea</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Reproductibilitatea</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Reproductibilitatea</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Reproductibilitatea</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Reproductibilitatea</w:t>
            </w:r>
          </w:p>
        </w:tc>
      </w:tr>
      <w:tr w:rsidR="00FF5E27" w:rsidRPr="00FF5E27"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Foarte ușor de învățat</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Uşor de învățat</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Ușor de învățat, zonă de măsurare mai mare decât alte tehnici cu ultrasunete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Examinarea întregului ficat</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r>
      <w:tr w:rsidR="00FF5E27" w:rsidRPr="00D645AA"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Se obțin și imagini ecografice convenționale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Se obțin și imagini ecografice convenționale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Se obțin și imagini RM convenționale</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r>
      <w:tr w:rsidR="00FF5E27" w:rsidRPr="00D645AA"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Obezitatea și ascita nu sunt limitative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Ascita nu este limitativă</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Obezitatea și ascita nu sunt limitative</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r>
      <w:tr w:rsidR="00FF5E27" w:rsidRPr="00D645AA" w:rsidTr="00915F05">
        <w:tc>
          <w:tcPr>
            <w:tcW w:w="642" w:type="pct"/>
            <w:vMerge w:val="restar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Dezavantaje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Cerințe tehnice (echipamente pentru elastografie)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Cerințe tehnice (echipamente cu ultrasunete)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Cerințe tehnice (echipamente cu ultrasunete)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Cerințe tehnice (echipament de imagistică RM)</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Nespecific (de exemplu, hiperbilirubinemie, hemoliză, inflamație)</w:t>
            </w:r>
          </w:p>
        </w:tc>
      </w:tr>
      <w:tr w:rsidR="00FF5E27" w:rsidRPr="00D645AA"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Cost intermediar</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Cost intermediar</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Cost intermediar</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Cost ridicat, consumator de timp</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Cost relativ ridicat, disponibilitate limitată (brevet)</w:t>
            </w:r>
          </w:p>
        </w:tc>
      </w:tr>
      <w:tr w:rsidR="00FF5E27" w:rsidRPr="00D645AA"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Recunoașterea limitată a stadiilor intermediare ale fibrozei</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Recunoașterea limitată a stadiilor intermediare ale fibrozei</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Recunoașterea limitată a stadiilor intermediare ale fibrozei</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Recunoașterea limitată a stadiilor intermediare ale fibrozei</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Recunoașterea limitată a stadiilor intermediare ale fibrozei</w:t>
            </w:r>
          </w:p>
        </w:tc>
      </w:tr>
      <w:tr w:rsidR="00FF5E27" w:rsidRPr="00D645AA"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Selectare oarbă a zonei de măsurare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Nu se aplică în cazul depunerilor de fier</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Rezultatele nu sunt disponibile imediat</w:t>
            </w:r>
          </w:p>
        </w:tc>
      </w:tr>
      <w:tr w:rsidR="00FF5E27" w:rsidRPr="00D645AA"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Valoare restricționată la pacienții obezi și la pacienții cu ascită</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Gamă îngustă de valori, zonă mică de măsurare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r>
      <w:tr w:rsidR="00FF5E27" w:rsidRPr="00D645AA" w:rsidTr="00915F05">
        <w:tc>
          <w:tcPr>
            <w:tcW w:w="642" w:type="pct"/>
            <w:vMerge/>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Valori fals pozitive la pacienții cu hepatită acută, colestază și </w:t>
            </w:r>
            <w:r w:rsidRPr="00FF5E27">
              <w:rPr>
                <w:rFonts w:ascii="Times New Roman" w:eastAsia="Times New Roman" w:hAnsi="Times New Roman" w:cs="Times New Roman"/>
                <w:sz w:val="24"/>
                <w:szCs w:val="24"/>
                <w:lang w:val="ro-RO" w:eastAsia="ru-RU"/>
              </w:rPr>
              <w:lastRenderedPageBreak/>
              <w:t>insuficiență cardiacă</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Criteriile de calitate nu sunt bine definite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Criteriile de calitate nu sunt bine definite</w:t>
            </w:r>
          </w:p>
        </w:tc>
        <w:tc>
          <w:tcPr>
            <w:tcW w:w="882"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c>
          <w:tcPr>
            <w:tcW w:w="828" w:type="pct"/>
            <w:shd w:val="clear" w:color="auto" w:fill="auto"/>
            <w:hideMark/>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w:t>
            </w:r>
          </w:p>
        </w:tc>
      </w:tr>
    </w:tbl>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i/>
          <w:iCs/>
          <w:color w:val="232323"/>
          <w:sz w:val="24"/>
          <w:szCs w:val="24"/>
          <w:lang w:val="ro-RO" w:eastAsia="ru-RU"/>
        </w:rPr>
        <w:t>Abrevieri:</w:t>
      </w:r>
      <w:r w:rsidRPr="00FF5E27">
        <w:rPr>
          <w:rFonts w:ascii="Times New Roman" w:eastAsia="Times New Roman" w:hAnsi="Times New Roman" w:cs="Times New Roman"/>
          <w:color w:val="232323"/>
          <w:sz w:val="24"/>
          <w:szCs w:val="24"/>
          <w:lang w:val="ro-RO" w:eastAsia="ru-RU"/>
        </w:rPr>
        <w:t xml:space="preserve"> pARFI: elastografie cu undă de forfecare punctuală utilizând impulsul forței de radiație acustică; 2D-SWE: elastografie bidimensională cu undă de forfecare; MR: rezonanta magnetica.</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lang w:val="ro-RO"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915F05">
        <w:trPr>
          <w:trHeight w:val="268"/>
        </w:trPr>
        <w:tc>
          <w:tcPr>
            <w:tcW w:w="5000" w:type="pct"/>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sz w:val="24"/>
                <w:szCs w:val="24"/>
                <w:lang w:val="ro-RO" w:eastAsia="ru-RU"/>
              </w:rPr>
              <w:t xml:space="preserve">Caseta 15. Evaluarea invazivă a fibrozei hepatice. </w:t>
            </w:r>
            <w:r w:rsidRPr="00FF5E27">
              <w:rPr>
                <w:rFonts w:ascii="Times New Roman" w:eastAsia="Times New Roman" w:hAnsi="Times New Roman" w:cs="Times New Roman"/>
                <w:b/>
                <w:bCs/>
                <w:sz w:val="24"/>
                <w:szCs w:val="24"/>
                <w:lang w:val="ro-RO" w:eastAsia="ru-RU"/>
              </w:rPr>
              <w:t>Rolul biopsiei hepatice.</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Nu efectuăm în mod obișnuit biopsie hepatică la pacienții cu infecție cronică cu VHC. Pe măsură ce tratamentul pentru VHC continuă să devină mai puțin toxic și mai eficient, există mai puțin necesitatea de a stadializa cu precizie boala hepatică a pacientului prin biopsie.</w:t>
            </w:r>
          </w:p>
          <w:p w:rsidR="00FF5E27" w:rsidRPr="00FF5E27" w:rsidRDefault="00FF5E27" w:rsidP="00FF5E27">
            <w:p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Limitările biopsiei hepatice includ [5, 16]:</w:t>
            </w:r>
          </w:p>
          <w:p w:rsidR="00FF5E27" w:rsidRPr="00FF5E27" w:rsidRDefault="00FF5E27" w:rsidP="00461D8F">
            <w:pPr>
              <w:numPr>
                <w:ilvl w:val="0"/>
                <w:numId w:val="51"/>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Eroarea de eșantionare, care duce la interpretare greșită la 10 -15% dintre pacienți. Astfel, diagnosticul de ciroză poate fi omis, ceea ce duce la o asigurare falsă pentru clinician și pacient.</w:t>
            </w:r>
          </w:p>
          <w:p w:rsidR="00FF5E27" w:rsidRPr="00FF5E27" w:rsidRDefault="00FF5E27" w:rsidP="00461D8F">
            <w:pPr>
              <w:numPr>
                <w:ilvl w:val="0"/>
                <w:numId w:val="51"/>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Variabilitate semnificativă între observatori în interpretarea biopsiilor hepatice.</w:t>
            </w:r>
          </w:p>
          <w:p w:rsidR="00FF5E27" w:rsidRPr="00FF5E27" w:rsidRDefault="00FF5E27" w:rsidP="00461D8F">
            <w:pPr>
              <w:numPr>
                <w:ilvl w:val="0"/>
                <w:numId w:val="51"/>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Cheltuieli și risc de complicații, având în vedere natura sa invazivă.</w:t>
            </w:r>
          </w:p>
          <w:p w:rsidR="00FF5E27" w:rsidRPr="00FF5E27" w:rsidRDefault="00FF5E27" w:rsidP="00FF5E27">
            <w:p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Cu toate acestea, spre deosebire de markerii neinvazivi ai fibrozei, o biopsie hepatică poate stabili prezența unor boli concomitente (cum ar fi hemocromatoza, hepatita alcoolică, steatohepatita nonalcoolică/boala ficatului gras nealcoolic și sarcoidoza hepatică) și gradul în care aceste afecțiuni contribuie la boala hepatică pacientului.</w:t>
            </w:r>
          </w:p>
          <w:p w:rsidR="00FF5E27" w:rsidRPr="00FF5E27" w:rsidRDefault="00FF5E27" w:rsidP="00FF5E27">
            <w:p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Efectuăm biopsie hepatică numai la pacienți selecționați cu infecție cu VHC, inclusiv cei cu transplant hepatic, suspectare de boală hepatică autoimună, boală hepatică indusă de medicamente și la cei pentru care diagnosticul este îndoielnic.</w:t>
            </w:r>
          </w:p>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sz w:val="24"/>
                <w:szCs w:val="24"/>
                <w:lang w:val="ro-RO" w:eastAsia="ru-RU"/>
              </w:rPr>
              <w:t>O altă strategie propusă, dacă resursele sunt disponibile, este utilizarea a două tipuri de teste neinvazive pentru fibroză (adică testul biomarkerului și elastografia hepatică tranzitorie) și rezervarea biopsiei pentru acei pacienți care au rezultate discordante la aceste două teste.</w:t>
            </w:r>
          </w:p>
          <w:p w:rsidR="00FF5E27" w:rsidRPr="00FF5E27" w:rsidRDefault="00FF5E27" w:rsidP="00461D8F">
            <w:pPr>
              <w:numPr>
                <w:ilvl w:val="0"/>
                <w:numId w:val="16"/>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i/>
                <w:iCs/>
                <w:sz w:val="24"/>
                <w:szCs w:val="24"/>
                <w:lang w:val="ro-RO" w:eastAsia="ru-RU"/>
              </w:rPr>
              <w:t>Clasificarea modificărilor histologice hepatice</w:t>
            </w:r>
            <w:r w:rsidRPr="00FF5E27">
              <w:rPr>
                <w:rFonts w:ascii="Times New Roman" w:eastAsia="Times New Roman" w:hAnsi="Times New Roman" w:cs="Times New Roman"/>
                <w:sz w:val="24"/>
                <w:szCs w:val="24"/>
                <w:lang w:val="ro-RO" w:eastAsia="ru-RU"/>
              </w:rPr>
              <w:t>:</w:t>
            </w:r>
          </w:p>
          <w:p w:rsidR="00FF5E27" w:rsidRPr="00FF5E27" w:rsidRDefault="00FF5E27" w:rsidP="00461D8F">
            <w:pPr>
              <w:numPr>
                <w:ilvl w:val="0"/>
                <w:numId w:val="17"/>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Mai multe sisteme de scoruri histologice au fost dezvoltate pentru a evalua gradul de inflamație și stadiul de fibroză în boala hepatică. În scopuri clinice, sunt utilizate sisteme de punctaj cu mai puține categorii de grade și stadii; acestea includ </w:t>
            </w:r>
            <w:r w:rsidRPr="00FF5E27">
              <w:rPr>
                <w:rFonts w:ascii="Times New Roman" w:eastAsia="Times New Roman" w:hAnsi="Times New Roman" w:cs="Times New Roman"/>
                <w:i/>
                <w:iCs/>
                <w:sz w:val="24"/>
                <w:szCs w:val="24"/>
                <w:lang w:val="ro-RO" w:eastAsia="ru-RU"/>
              </w:rPr>
              <w:t xml:space="preserve">Batts </w:t>
            </w:r>
            <w:r w:rsidRPr="00FF5E27">
              <w:rPr>
                <w:rFonts w:ascii="Times New Roman" w:eastAsia="Times New Roman" w:hAnsi="Times New Roman" w:cs="Times New Roman"/>
                <w:sz w:val="24"/>
                <w:szCs w:val="24"/>
                <w:lang w:val="ro-RO" w:eastAsia="ru-RU"/>
              </w:rPr>
              <w:t xml:space="preserve">și </w:t>
            </w:r>
            <w:r w:rsidRPr="00FF5E27">
              <w:rPr>
                <w:rFonts w:ascii="Times New Roman" w:eastAsia="Times New Roman" w:hAnsi="Times New Roman" w:cs="Times New Roman"/>
                <w:i/>
                <w:iCs/>
                <w:sz w:val="24"/>
                <w:szCs w:val="24"/>
                <w:lang w:val="ro-RO" w:eastAsia="ru-RU"/>
              </w:rPr>
              <w:t>Ludwig</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i/>
                <w:iCs/>
                <w:sz w:val="24"/>
                <w:szCs w:val="24"/>
                <w:lang w:val="ro-RO" w:eastAsia="ru-RU"/>
              </w:rPr>
              <w:t>Metavir</w:t>
            </w:r>
            <w:r w:rsidRPr="00FF5E27">
              <w:rPr>
                <w:rFonts w:ascii="Times New Roman" w:eastAsia="Times New Roman" w:hAnsi="Times New Roman" w:cs="Times New Roman"/>
                <w:sz w:val="24"/>
                <w:szCs w:val="24"/>
                <w:lang w:val="ro-RO" w:eastAsia="ru-RU"/>
              </w:rPr>
              <w:t xml:space="preserve"> și </w:t>
            </w:r>
            <w:r w:rsidRPr="00FF5E27">
              <w:rPr>
                <w:rFonts w:ascii="Times New Roman" w:eastAsia="Times New Roman" w:hAnsi="Times New Roman" w:cs="Times New Roman"/>
                <w:i/>
                <w:iCs/>
                <w:sz w:val="24"/>
                <w:szCs w:val="24"/>
                <w:lang w:val="ro-RO" w:eastAsia="ru-RU"/>
              </w:rPr>
              <w:t>EASL</w:t>
            </w:r>
            <w:r w:rsidRPr="00FF5E27">
              <w:rPr>
                <w:rFonts w:ascii="Times New Roman" w:eastAsia="Times New Roman" w:hAnsi="Times New Roman" w:cs="Times New Roman"/>
                <w:sz w:val="24"/>
                <w:szCs w:val="24"/>
                <w:lang w:val="ro-RO" w:eastAsia="ru-RU"/>
              </w:rPr>
              <w:t xml:space="preserve">. </w:t>
            </w:r>
          </w:p>
          <w:p w:rsidR="00FF5E27" w:rsidRPr="00FF5E27" w:rsidRDefault="00FF5E27" w:rsidP="00461D8F">
            <w:pPr>
              <w:numPr>
                <w:ilvl w:val="0"/>
                <w:numId w:val="17"/>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Principalii factori determinanți ai activității inflamatorii sunt necroza </w:t>
            </w:r>
            <w:r w:rsidRPr="00FF5E27">
              <w:rPr>
                <w:rFonts w:ascii="Times New Roman" w:eastAsia="Times New Roman" w:hAnsi="Times New Roman" w:cs="Times New Roman"/>
                <w:i/>
                <w:sz w:val="24"/>
                <w:szCs w:val="24"/>
                <w:lang w:val="ro-RO" w:eastAsia="ru-RU"/>
              </w:rPr>
              <w:t xml:space="preserve">piecemeal </w:t>
            </w:r>
            <w:r w:rsidRPr="00FF5E27">
              <w:rPr>
                <w:rFonts w:ascii="Times New Roman" w:eastAsia="Times New Roman" w:hAnsi="Times New Roman" w:cs="Times New Roman"/>
                <w:sz w:val="24"/>
                <w:szCs w:val="24"/>
                <w:lang w:val="ro-RO" w:eastAsia="ru-RU"/>
              </w:rPr>
              <w:t>(treptată, bucată cu bucată) necroinflamarea lobulară și inflamația portală limfoplasmocitară, care sunt clasificate de la 0 la 4 în majoritatea sistemelor de clasificare.</w:t>
            </w:r>
          </w:p>
          <w:p w:rsidR="00FF5E27" w:rsidRPr="00FF5E27" w:rsidRDefault="00FF5E27" w:rsidP="00461D8F">
            <w:pPr>
              <w:numPr>
                <w:ilvl w:val="0"/>
                <w:numId w:val="17"/>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Principalii factori determinanți ai fibrozei sunt gradul de extindere a zonelor fibrotice între tractele portale și aceste modificări sunt etapizate de la 0 la 4 în sistemele de clasificare utilizate frecvent în practica clinică.</w:t>
            </w:r>
          </w:p>
        </w:tc>
      </w:tr>
    </w:tbl>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87" w:name="_Toc177994804"/>
      <w:bookmarkStart w:id="88" w:name="_Toc205889018"/>
      <w:bookmarkStart w:id="89" w:name="_Toc331523460"/>
      <w:bookmarkStart w:id="90" w:name="_Toc331526268"/>
      <w:bookmarkStart w:id="91" w:name="_Toc331526435"/>
      <w:r w:rsidRPr="00FF5E27">
        <w:rPr>
          <w:rFonts w:ascii="Times New Roman" w:eastAsia="Times New Roman" w:hAnsi="Times New Roman" w:cs="Times New Roman"/>
          <w:b/>
          <w:spacing w:val="15"/>
          <w:sz w:val="24"/>
          <w:szCs w:val="24"/>
          <w:lang w:val="ro-RO" w:eastAsia="x-none"/>
        </w:rPr>
        <w:t>C.2.3.5. Intervenţii şi de proceduri de diagnostic la diferite nivele de îngrijire a pacienților</w:t>
      </w:r>
      <w:bookmarkEnd w:id="87"/>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w:t>
      </w:r>
    </w:p>
    <w:p w:rsidR="00FF5E27" w:rsidRPr="00FF5E27" w:rsidRDefault="00961150" w:rsidP="00FF5E27">
      <w:pPr>
        <w:spacing w:after="0" w:line="240" w:lineRule="auto"/>
        <w:ind w:right="-613"/>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8</w:t>
      </w:r>
      <w:r w:rsidR="00FF5E27" w:rsidRPr="00FF5E27">
        <w:rPr>
          <w:rFonts w:ascii="Times New Roman" w:eastAsia="Times New Roman" w:hAnsi="Times New Roman" w:cs="Times New Roman"/>
          <w:b/>
          <w:sz w:val="24"/>
          <w:szCs w:val="24"/>
          <w:lang w:val="ro-RO" w:eastAsia="ru-RU"/>
        </w:rPr>
        <w:t>. Lista de intervenţii şi de proceduri de diagnostic la nivel consultativ specializat</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5444"/>
      </w:tblGrid>
      <w:tr w:rsidR="00FF5E27" w:rsidRPr="00D645AA" w:rsidTr="00915F05">
        <w:tc>
          <w:tcPr>
            <w:tcW w:w="5000" w:type="pct"/>
            <w:gridSpan w:val="2"/>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i/>
                <w:sz w:val="24"/>
                <w:szCs w:val="24"/>
                <w:lang w:val="ro-RO" w:eastAsia="ru-RU"/>
              </w:rPr>
              <w:t>Intervenţiile şi de procedurile de diagnostic la nivel consultativ specializat</w:t>
            </w:r>
          </w:p>
        </w:tc>
      </w:tr>
      <w:tr w:rsidR="00FF5E27" w:rsidRPr="00D645AA" w:rsidTr="00915F05">
        <w:tc>
          <w:tcPr>
            <w:tcW w:w="5000" w:type="pct"/>
            <w:gridSpan w:val="2"/>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Intervenţiile şi procedurile de diagnostic efectuate la nivelul de asistenţă medicală primară se repetă doar dacă sunt efectuate cu mai mult de 1 lună anterior; marcherii virali efectuați anterior nu se mai repetă</w:t>
            </w:r>
          </w:p>
        </w:tc>
      </w:tr>
      <w:tr w:rsidR="00FF5E27" w:rsidRPr="00FF5E27" w:rsidTr="00915F05">
        <w:tc>
          <w:tcPr>
            <w:tcW w:w="2036" w:type="pct"/>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Obligatoriu</w:t>
            </w:r>
          </w:p>
        </w:tc>
        <w:tc>
          <w:tcPr>
            <w:tcW w:w="2964" w:type="pct"/>
            <w:shd w:val="clear" w:color="auto" w:fill="auto"/>
          </w:tcPr>
          <w:p w:rsidR="00FF5E27" w:rsidRPr="00FF5E27" w:rsidRDefault="00FF5E27" w:rsidP="00FF5E27">
            <w:pPr>
              <w:shd w:val="clear" w:color="auto" w:fill="FFFFFF"/>
              <w:spacing w:after="0" w:line="240" w:lineRule="auto"/>
              <w:ind w:left="-72"/>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Recomandabil</w:t>
            </w:r>
            <w:r w:rsidRPr="00FF5E27">
              <w:rPr>
                <w:rFonts w:ascii="Times New Roman" w:eastAsia="Times New Roman" w:hAnsi="Times New Roman" w:cs="Times New Roman"/>
                <w:b/>
                <w:sz w:val="24"/>
                <w:szCs w:val="24"/>
                <w:vertAlign w:val="superscript"/>
                <w:lang w:val="ro-RO" w:eastAsia="ru-RU"/>
              </w:rPr>
              <w:t>&amp;</w:t>
            </w:r>
          </w:p>
        </w:tc>
      </w:tr>
      <w:tr w:rsidR="00FF5E27" w:rsidRPr="00FF5E27" w:rsidTr="00915F05">
        <w:tc>
          <w:tcPr>
            <w:tcW w:w="2036" w:type="pct"/>
            <w:shd w:val="clear" w:color="auto" w:fill="auto"/>
          </w:tcPr>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Hemoleucogramă, trombocite, VSH</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Cs/>
                <w:sz w:val="24"/>
                <w:szCs w:val="24"/>
                <w:lang w:val="ro-RO" w:eastAsia="ru-RU"/>
              </w:rPr>
              <w:t>Teste hepatice de rutină</w:t>
            </w:r>
            <w:r w:rsidRPr="00FF5E27">
              <w:rPr>
                <w:rFonts w:ascii="Times New Roman" w:eastAsia="Times New Roman" w:hAnsi="Times New Roman" w:cs="Times New Roman"/>
                <w:sz w:val="24"/>
                <w:szCs w:val="24"/>
                <w:lang w:val="ro-RO" w:eastAsia="ru-RU"/>
              </w:rPr>
              <w:t xml:space="preserve">: </w:t>
            </w:r>
          </w:p>
          <w:p w:rsidR="00FF5E27" w:rsidRPr="00FF5E27" w:rsidRDefault="00FF5E27" w:rsidP="00862E53">
            <w:pPr>
              <w:shd w:val="clear" w:color="auto" w:fill="FFFFFF"/>
              <w:tabs>
                <w:tab w:val="left" w:pos="142"/>
              </w:tabs>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ALT, АST, Fosfataza alcalină (FA), GGTP, bilirubina totală, albumina</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Protrombina, INR</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Teste de evaluare neinvazivă a fibrozei și de prezicere a cirozei:</w:t>
            </w:r>
            <w:r w:rsidRPr="00FF5E27">
              <w:rPr>
                <w:rFonts w:ascii="Times New Roman" w:eastAsia="Times New Roman" w:hAnsi="Times New Roman" w:cs="Times New Roman"/>
                <w:sz w:val="24"/>
                <w:szCs w:val="24"/>
                <w:lang w:val="ro-RO" w:eastAsia="ru-RU"/>
              </w:rPr>
              <w:br/>
              <w:t>Scorul APRI și scorul FIB-4</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ARN-HCV* (print-o metodă moleculară sensibilă) </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Creatinina, cu calcul al ratei de filtrare glomerulară estimate (eGFR)</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Indice de greutate și masă corporală </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Măsurarea rigidității ficatului folosind tehnologii noninvazive: elastografia tranzitorie sau elastografie cu undă de forfecare acustică (la necesitate)</w:t>
            </w:r>
          </w:p>
        </w:tc>
        <w:tc>
          <w:tcPr>
            <w:tcW w:w="2964" w:type="pct"/>
            <w:shd w:val="clear" w:color="auto" w:fill="auto"/>
          </w:tcPr>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LDH</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Bilirubina conjugată și bilirubina liberă</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Colinesteraza, amoniacul</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Electroliții: calciu, magneziu, sodiu, potasiu (la necesitate)</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AND-VHB, test cantitativ pentru persoanele cu AgHBs+</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Insulina și glucoza, cu calcul HOMA-IR</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Crioglobulinele (în caz de vasculită)</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α-fetoproteina </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Imunoglobulinele serice: IgA, IgM, IgG</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Ig E^</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USG + Doppler Duplex color a sistemului portal^^</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EDS pentru evaluarea varicelor esofagiene **</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Imagistica prin rezonanţa magnetică</w:t>
            </w:r>
            <w:r w:rsidRPr="00FF5E27">
              <w:rPr>
                <w:rFonts w:ascii="Times New Roman" w:eastAsia="Times New Roman" w:hAnsi="Times New Roman" w:cs="Times New Roman"/>
                <w:sz w:val="24"/>
                <w:szCs w:val="24"/>
                <w:lang w:val="ro-RO" w:eastAsia="ru-RU"/>
              </w:rPr>
              <w:br/>
              <w:t>a organelor abdominale, cu contrast, sau tomografia computerizată abdominală trifazic, cu contrast: în caz de suspiciune de HCC.</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Teste de evaluare neinvazivă a fibrozei și de prezicere a cirozei folosind marcheri de fibroză pe bază de ser (FibroTest/FibroSure, Fibro-MAX, FibroMeter)</w:t>
            </w:r>
          </w:p>
          <w:p w:rsidR="00FF5E27" w:rsidRPr="00FF5E27" w:rsidRDefault="00FF5E27" w:rsidP="00862E53">
            <w:pPr>
              <w:numPr>
                <w:ilvl w:val="0"/>
                <w:numId w:val="13"/>
              </w:numPr>
              <w:shd w:val="clear" w:color="auto" w:fill="FFFFFF"/>
              <w:spacing w:after="0" w:line="240" w:lineRule="auto"/>
              <w:ind w:left="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Electrocardiograma</w:t>
            </w:r>
          </w:p>
        </w:tc>
      </w:tr>
    </w:tbl>
    <w:p w:rsidR="00FF5E27" w:rsidRPr="00FF5E27" w:rsidRDefault="00FF5E27" w:rsidP="00FF5E27">
      <w:pPr>
        <w:shd w:val="clear" w:color="auto" w:fill="FFFFFF"/>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Notă:</w:t>
      </w:r>
    </w:p>
    <w:p w:rsidR="00FF5E27" w:rsidRPr="00FF5E27" w:rsidRDefault="00FF5E27" w:rsidP="00FF5E27">
      <w:pPr>
        <w:shd w:val="clear" w:color="auto" w:fill="FFFFFF"/>
        <w:spacing w:after="0" w:line="240" w:lineRule="auto"/>
        <w:ind w:right="-164"/>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vertAlign w:val="superscript"/>
          <w:lang w:val="ro-RO" w:eastAsia="ru-RU"/>
        </w:rPr>
        <w:t>&amp;</w:t>
      </w:r>
      <w:r w:rsidRPr="00FF5E27">
        <w:rPr>
          <w:rFonts w:ascii="Times New Roman" w:eastAsia="Times New Roman" w:hAnsi="Times New Roman" w:cs="Times New Roman"/>
          <w:sz w:val="24"/>
          <w:szCs w:val="24"/>
          <w:vertAlign w:val="superscript"/>
          <w:lang w:val="ro-RO" w:eastAsia="ru-RU"/>
        </w:rPr>
        <w:t xml:space="preserve"> </w:t>
      </w:r>
      <w:r w:rsidRPr="00FF5E27">
        <w:rPr>
          <w:rFonts w:ascii="Times New Roman" w:eastAsia="Times New Roman" w:hAnsi="Times New Roman" w:cs="Times New Roman"/>
          <w:sz w:val="24"/>
          <w:szCs w:val="24"/>
          <w:lang w:val="ro-RO" w:eastAsia="ru-RU"/>
        </w:rPr>
        <w:t xml:space="preserve">Cercetările recomandabile se vor efectua după indicaţii stricte, cu argumentări </w:t>
      </w:r>
    </w:p>
    <w:p w:rsidR="00FF5E27" w:rsidRPr="00FF5E27" w:rsidRDefault="00FF5E27" w:rsidP="00915F05">
      <w:pPr>
        <w:shd w:val="clear" w:color="auto" w:fill="FFFFFF"/>
        <w:spacing w:after="0" w:line="240" w:lineRule="auto"/>
        <w:ind w:right="-1"/>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La indivizii cu anti-HCV pozitiv și ARN-HCV negativ, testarea repetată a ARN-HCV trebuie efectuată peste 3 luni, astfel confirmând-se convalescența (A1). La indivizii cu ARN-HCV test cantitativ pozitiv, testarea repetată a ARN-HCV </w:t>
      </w:r>
      <w:r w:rsidRPr="00FF5E27">
        <w:rPr>
          <w:rFonts w:ascii="Times New Roman" w:eastAsia="Times New Roman" w:hAnsi="Times New Roman" w:cs="Times New Roman"/>
          <w:b/>
          <w:sz w:val="24"/>
          <w:szCs w:val="24"/>
          <w:u w:val="single"/>
          <w:lang w:val="ro-RO" w:eastAsia="ru-RU"/>
        </w:rPr>
        <w:t>nu</w:t>
      </w:r>
      <w:r w:rsidRPr="00FF5E27">
        <w:rPr>
          <w:rFonts w:ascii="Times New Roman" w:eastAsia="Times New Roman" w:hAnsi="Times New Roman" w:cs="Times New Roman"/>
          <w:sz w:val="24"/>
          <w:szCs w:val="24"/>
          <w:lang w:val="ro-RO" w:eastAsia="ru-RU"/>
        </w:rPr>
        <w:t xml:space="preserve"> va mai fi efectuată decât în cadrul monitorizării tratamentului antiviral.</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La pacienții cu ciroză, supravegherea varicelor esofagiene prin endoscopie trebuie efectuată dacă varicele au fost prezente la endoscopia pre-tratament sau dacă numărul de trombocite scade sub 150.000 și elastografia crește la mai mult de 20 kPa (A1).</w:t>
      </w:r>
    </w:p>
    <w:p w:rsidR="00FF5E27" w:rsidRPr="00FF5E27" w:rsidRDefault="00FF5E27" w:rsidP="00FF5E27">
      <w:pPr>
        <w:shd w:val="clear" w:color="auto" w:fill="FFFFFF"/>
        <w:spacing w:after="0" w:line="240" w:lineRule="auto"/>
        <w:ind w:right="-164"/>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Pentru persoanele care menționează alergie la medicamente în anamneză, în cazuri speciale (eozinofilie). </w:t>
      </w:r>
    </w:p>
    <w:p w:rsidR="00FF5E27" w:rsidRPr="00FF5E27" w:rsidRDefault="00FF5E27" w:rsidP="00FF5E27">
      <w:pPr>
        <w:shd w:val="clear" w:color="auto" w:fill="FFFFFF"/>
        <w:spacing w:after="0" w:line="240" w:lineRule="auto"/>
        <w:ind w:right="-164"/>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^^În caz de suspiciune de hipertensiune portală</w:t>
      </w:r>
    </w:p>
    <w:p w:rsidR="00FF5E27" w:rsidRPr="00FF5E27" w:rsidRDefault="00FF5E27" w:rsidP="00FF5E27">
      <w:pPr>
        <w:shd w:val="clear" w:color="auto" w:fill="FFFFFF"/>
        <w:spacing w:after="0" w:line="240" w:lineRule="auto"/>
        <w:jc w:val="both"/>
        <w:rPr>
          <w:rFonts w:ascii="Times New Roman" w:eastAsia="Times New Roman" w:hAnsi="Times New Roman" w:cs="Times New Roman"/>
          <w:b/>
          <w:sz w:val="24"/>
          <w:szCs w:val="24"/>
          <w:lang w:val="ro-RO" w:eastAsia="ru-RU"/>
        </w:rPr>
      </w:pPr>
    </w:p>
    <w:p w:rsidR="00FF5E27" w:rsidRPr="00FF5E27" w:rsidRDefault="00FF5E27" w:rsidP="00FF5E27">
      <w:pPr>
        <w:shd w:val="clear" w:color="auto" w:fill="FFFFFF"/>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9</w:t>
      </w:r>
      <w:r w:rsidRPr="00FF5E27">
        <w:rPr>
          <w:rFonts w:ascii="Times New Roman" w:eastAsia="Times New Roman" w:hAnsi="Times New Roman" w:cs="Times New Roman"/>
          <w:b/>
          <w:sz w:val="24"/>
          <w:szCs w:val="24"/>
          <w:lang w:val="ro-RO" w:eastAsia="ru-RU"/>
        </w:rPr>
        <w:t>. Lista de intervenţii şi de proceduri de diagnostic la nivel de staționar</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776"/>
      </w:tblGrid>
      <w:tr w:rsidR="00FF5E27" w:rsidRPr="00D645AA" w:rsidTr="00915F05">
        <w:tc>
          <w:tcPr>
            <w:tcW w:w="5000" w:type="pct"/>
            <w:gridSpan w:val="2"/>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i/>
                <w:sz w:val="24"/>
                <w:szCs w:val="24"/>
                <w:lang w:val="ro-RO" w:eastAsia="ru-RU"/>
              </w:rPr>
              <w:t>Intervenţiile şi de procedurile de diagnostic la nivel spitalicesc</w:t>
            </w:r>
            <w:r w:rsidR="00961150">
              <w:rPr>
                <w:rFonts w:ascii="Times New Roman" w:eastAsia="Times New Roman" w:hAnsi="Times New Roman" w:cs="Times New Roman"/>
                <w:b/>
                <w:i/>
                <w:sz w:val="24"/>
                <w:szCs w:val="24"/>
                <w:lang w:val="ro-RO" w:eastAsia="ru-RU"/>
              </w:rPr>
              <w:t>,sectia hepatologie și gastroenterologie SCR</w:t>
            </w:r>
          </w:p>
        </w:tc>
      </w:tr>
      <w:tr w:rsidR="00FF5E27" w:rsidRPr="00D645AA" w:rsidTr="00915F05">
        <w:tc>
          <w:tcPr>
            <w:tcW w:w="5000" w:type="pct"/>
            <w:gridSpan w:val="2"/>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Intervenţiile şi procedurile de diagnostic efectuate la nivelurile de asistență pre-specializată se repetă la necesitate, dar marcherii virali efectuați anterior nu se mai repetă!</w:t>
            </w:r>
          </w:p>
        </w:tc>
      </w:tr>
      <w:tr w:rsidR="00FF5E27" w:rsidRPr="00FF5E27" w:rsidTr="00915F05">
        <w:tc>
          <w:tcPr>
            <w:tcW w:w="2400" w:type="pct"/>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Obligatoriu</w:t>
            </w:r>
          </w:p>
        </w:tc>
        <w:tc>
          <w:tcPr>
            <w:tcW w:w="2600" w:type="pct"/>
            <w:shd w:val="clear" w:color="auto" w:fill="auto"/>
          </w:tcPr>
          <w:p w:rsidR="00FF5E27" w:rsidRPr="00FF5E27" w:rsidRDefault="00FF5E27" w:rsidP="00FF5E27">
            <w:pPr>
              <w:shd w:val="clear" w:color="auto" w:fill="FFFFFF"/>
              <w:spacing w:after="0" w:line="240" w:lineRule="auto"/>
              <w:ind w:left="-72"/>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Recomandabil</w:t>
            </w:r>
            <w:r w:rsidRPr="00FF5E27">
              <w:rPr>
                <w:rFonts w:ascii="Times New Roman" w:eastAsia="Times New Roman" w:hAnsi="Times New Roman" w:cs="Times New Roman"/>
                <w:b/>
                <w:sz w:val="24"/>
                <w:szCs w:val="24"/>
                <w:vertAlign w:val="superscript"/>
                <w:lang w:val="ro-RO" w:eastAsia="ru-RU"/>
              </w:rPr>
              <w:t>&amp;</w:t>
            </w:r>
          </w:p>
        </w:tc>
      </w:tr>
      <w:tr w:rsidR="00FF5E27" w:rsidRPr="00FF5E27" w:rsidTr="00915F05">
        <w:tc>
          <w:tcPr>
            <w:tcW w:w="2400" w:type="pct"/>
            <w:shd w:val="clear" w:color="auto" w:fill="auto"/>
          </w:tcPr>
          <w:p w:rsidR="00FF5E27" w:rsidRPr="00FF5E27" w:rsidRDefault="00FF5E27" w:rsidP="00862E53">
            <w:pPr>
              <w:numPr>
                <w:ilvl w:val="0"/>
                <w:numId w:val="13"/>
              </w:numPr>
              <w:shd w:val="clear" w:color="auto" w:fill="FFFFFF"/>
              <w:tabs>
                <w:tab w:val="clear" w:pos="360"/>
                <w:tab w:val="left" w:pos="142"/>
              </w:tabs>
              <w:spacing w:after="0" w:line="240" w:lineRule="auto"/>
              <w:ind w:left="0" w:right="-407"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Hemoleucogramă, trombocite, VSH</w:t>
            </w:r>
          </w:p>
          <w:p w:rsidR="00FF5E27" w:rsidRPr="00FF5E27" w:rsidRDefault="00FF5E27" w:rsidP="00862E53">
            <w:pPr>
              <w:shd w:val="clear" w:color="auto" w:fill="FFFFFF"/>
              <w:tabs>
                <w:tab w:val="left" w:pos="142"/>
              </w:tabs>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 xml:space="preserve">Teste hepatice de rutină: </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ALT, АST, Fosfataza alcalină (FA), bilirubina totală, albumina</w:t>
            </w:r>
          </w:p>
          <w:p w:rsidR="00FF5E27" w:rsidRPr="00FF5E27" w:rsidRDefault="00FF5E27" w:rsidP="00862E53">
            <w:pPr>
              <w:shd w:val="clear" w:color="auto" w:fill="FFFFFF"/>
              <w:tabs>
                <w:tab w:val="left" w:pos="142"/>
              </w:tabs>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Teste de evaluare neinvazivă a fibrozei și de prezicere a cirozei:</w:t>
            </w:r>
            <w:r w:rsidRPr="00FF5E27">
              <w:rPr>
                <w:rFonts w:ascii="Times New Roman" w:eastAsia="Times New Roman" w:hAnsi="Times New Roman" w:cs="Times New Roman"/>
                <w:sz w:val="24"/>
                <w:szCs w:val="24"/>
                <w:lang w:val="ro-RO" w:eastAsia="ru-RU"/>
              </w:rPr>
              <w:br/>
              <w:t>Scorul APRI și scorul FIB-4</w:t>
            </w:r>
          </w:p>
          <w:p w:rsidR="00FF5E27" w:rsidRPr="00FF5E27" w:rsidRDefault="00FF5E27" w:rsidP="00862E53">
            <w:pPr>
              <w:numPr>
                <w:ilvl w:val="0"/>
                <w:numId w:val="13"/>
              </w:numPr>
              <w:shd w:val="clear" w:color="auto" w:fill="FFFFFF"/>
              <w:tabs>
                <w:tab w:val="clear" w:pos="360"/>
                <w:tab w:val="left" w:pos="142"/>
              </w:tabs>
              <w:spacing w:after="0" w:line="240" w:lineRule="auto"/>
              <w:ind w:left="0" w:right="-123"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Creatinina, cu calcul al ratei de filtrare </w:t>
            </w:r>
            <w:r w:rsidRPr="00FF5E27">
              <w:rPr>
                <w:rFonts w:ascii="Times New Roman" w:eastAsia="Times New Roman" w:hAnsi="Times New Roman" w:cs="Times New Roman"/>
                <w:sz w:val="24"/>
                <w:szCs w:val="24"/>
                <w:lang w:val="ro-RO" w:eastAsia="ru-RU"/>
              </w:rPr>
              <w:lastRenderedPageBreak/>
              <w:t>glomerulară estimate (eGFR)</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Ureea</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LDH, GGTP, bilirubina conjugată și liberă, colinesteraza</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Proteina totală </w:t>
            </w:r>
          </w:p>
          <w:p w:rsidR="00FF5E27" w:rsidRPr="00FF5E27" w:rsidRDefault="00FF5E27" w:rsidP="00862E53">
            <w:pPr>
              <w:numPr>
                <w:ilvl w:val="0"/>
                <w:numId w:val="13"/>
              </w:numPr>
              <w:shd w:val="clear" w:color="auto" w:fill="FFFFFF"/>
              <w:tabs>
                <w:tab w:val="clear" w:pos="360"/>
                <w:tab w:val="left" w:pos="142"/>
              </w:tabs>
              <w:spacing w:after="0" w:line="240" w:lineRule="auto"/>
              <w:ind w:left="0"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Coagulograma: protrombina după Quick, INR, fibrinogenul, timp de tomboplastină partial activat</w:t>
            </w:r>
          </w:p>
          <w:p w:rsidR="00FF5E27" w:rsidRPr="00FF5E27" w:rsidRDefault="00FF5E27" w:rsidP="00862E53">
            <w:pPr>
              <w:numPr>
                <w:ilvl w:val="0"/>
                <w:numId w:val="13"/>
              </w:numPr>
              <w:shd w:val="clear" w:color="auto" w:fill="FFFFFF"/>
              <w:tabs>
                <w:tab w:val="clear" w:pos="360"/>
                <w:tab w:val="left" w:pos="142"/>
              </w:tabs>
              <w:spacing w:after="0" w:line="240" w:lineRule="auto"/>
              <w:ind w:left="0" w:right="-533" w:firstLine="0"/>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Măsurarea rigidității ficatului folosind </w:t>
            </w:r>
          </w:p>
          <w:p w:rsidR="00FF5E27" w:rsidRPr="00FF5E27" w:rsidRDefault="00FF5E27" w:rsidP="00862E53">
            <w:pPr>
              <w:shd w:val="clear" w:color="auto" w:fill="FFFFFF"/>
              <w:tabs>
                <w:tab w:val="left" w:pos="142"/>
              </w:tabs>
              <w:spacing w:after="0" w:line="240" w:lineRule="auto"/>
              <w:ind w:right="-533"/>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tehnologii noninvazive: elastografia tranzitorie sau elastografie cu undă de forfecare acustică </w:t>
            </w:r>
          </w:p>
          <w:p w:rsidR="00FF5E27" w:rsidRPr="00FF5E27" w:rsidRDefault="00FF5E27" w:rsidP="00862E53">
            <w:pPr>
              <w:shd w:val="clear" w:color="auto" w:fill="FFFFFF"/>
              <w:tabs>
                <w:tab w:val="left" w:pos="142"/>
              </w:tabs>
              <w:spacing w:after="0" w:line="240" w:lineRule="auto"/>
              <w:ind w:right="-533"/>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(la necesitate)</w:t>
            </w:r>
          </w:p>
        </w:tc>
        <w:tc>
          <w:tcPr>
            <w:tcW w:w="2600" w:type="pct"/>
            <w:shd w:val="clear" w:color="auto" w:fill="auto"/>
          </w:tcPr>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 xml:space="preserve"> Echilibru acido-bazic, electroliții: calciu, magneziu, sodiu, potasiu</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Fracţiile proteice</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Insulina și glucoza, cu calcul HOMA-IR</w:t>
            </w:r>
          </w:p>
          <w:p w:rsidR="00FF5E27" w:rsidRPr="00FF5E27" w:rsidRDefault="00FF5E27" w:rsidP="00862E53">
            <w:pPr>
              <w:numPr>
                <w:ilvl w:val="0"/>
                <w:numId w:val="12"/>
              </w:numPr>
              <w:shd w:val="clear" w:color="auto" w:fill="FFFFFF"/>
              <w:spacing w:after="0" w:line="240" w:lineRule="auto"/>
              <w:ind w:right="195"/>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Lipidograma: HDL-colesterol, LDL-colesterol, trigliceride, apo-lipoproteide, fosfolipide, lipide serice totale</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Colinesteraza, amoniacul</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 xml:space="preserve"> Crioglobuline serice ( în caz de vasculită)</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α-fetoproteina </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Fe seric, feritina</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Ceruloplasmina</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Acidul uric</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Acizii serici biliari</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Imunoglobulinele serice: IgA, IgM, IgG, </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IgE^</w:t>
            </w:r>
          </w:p>
          <w:p w:rsidR="00FF5E27" w:rsidRPr="00FF5E27" w:rsidRDefault="00FF5E27" w:rsidP="00862E53">
            <w:pPr>
              <w:numPr>
                <w:ilvl w:val="0"/>
                <w:numId w:val="12"/>
              </w:numPr>
              <w:shd w:val="clear" w:color="auto" w:fill="FFFFFF"/>
              <w:spacing w:after="0" w:line="240" w:lineRule="auto"/>
              <w:ind w:right="-109"/>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Autoanticorpii: ANA, anti-LKM, ASMA (în caz de suspiciune de suprapunere cu hepatita autoimună)</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USG + </w:t>
            </w:r>
            <w:r w:rsidRPr="00FF5E27">
              <w:rPr>
                <w:rFonts w:ascii="Times New Roman" w:eastAsia="Times New Roman" w:hAnsi="Times New Roman" w:cs="Times New Roman"/>
                <w:i/>
                <w:sz w:val="24"/>
                <w:szCs w:val="24"/>
                <w:lang w:val="ro-RO" w:eastAsia="ru-RU"/>
              </w:rPr>
              <w:t>Doppler Duplex</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i/>
                <w:sz w:val="24"/>
                <w:szCs w:val="24"/>
                <w:lang w:val="ro-RO" w:eastAsia="ru-RU"/>
              </w:rPr>
              <w:t>color</w:t>
            </w:r>
            <w:r w:rsidRPr="00FF5E27">
              <w:rPr>
                <w:rFonts w:ascii="Times New Roman" w:eastAsia="Times New Roman" w:hAnsi="Times New Roman" w:cs="Times New Roman"/>
                <w:sz w:val="24"/>
                <w:szCs w:val="24"/>
                <w:lang w:val="ro-RO" w:eastAsia="ru-RU"/>
              </w:rPr>
              <w:t xml:space="preserve"> a sistemului portală^^</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EDS pentru evaluarea varicelor esofagiene*</w:t>
            </w:r>
          </w:p>
          <w:p w:rsidR="00FF5E27" w:rsidRPr="00FF5E27" w:rsidRDefault="00FF5E27" w:rsidP="00862E53">
            <w:pPr>
              <w:numPr>
                <w:ilvl w:val="0"/>
                <w:numId w:val="12"/>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Electrocardiograma</w:t>
            </w:r>
          </w:p>
          <w:p w:rsidR="00FF5E27" w:rsidRPr="00FF5E27" w:rsidRDefault="00FF5E27" w:rsidP="00862E53">
            <w:pPr>
              <w:numPr>
                <w:ilvl w:val="0"/>
                <w:numId w:val="13"/>
              </w:numPr>
              <w:shd w:val="clear" w:color="auto" w:fill="FFFFFF"/>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Imagistica prin rezonanţa magnetică</w:t>
            </w:r>
            <w:r w:rsidRPr="00FF5E27">
              <w:rPr>
                <w:rFonts w:ascii="Times New Roman" w:eastAsia="Times New Roman" w:hAnsi="Times New Roman" w:cs="Times New Roman"/>
                <w:sz w:val="24"/>
                <w:szCs w:val="24"/>
                <w:lang w:val="ro-RO" w:eastAsia="ru-RU"/>
              </w:rPr>
              <w:br/>
              <w:t>a organelor abdominale, cu contrast, sau tomografia computerizată abdominală trifazic, cu contrast: în caz de suspiciune de HCC.</w:t>
            </w:r>
          </w:p>
          <w:p w:rsidR="00FF5E27" w:rsidRPr="00FF5E27" w:rsidRDefault="00FF5E27" w:rsidP="00862E53">
            <w:pPr>
              <w:numPr>
                <w:ilvl w:val="0"/>
                <w:numId w:val="12"/>
              </w:numPr>
              <w:shd w:val="clear" w:color="auto" w:fill="FFFFFF"/>
              <w:tabs>
                <w:tab w:val="left" w:pos="175"/>
              </w:tabs>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Teste de evaluare neinvazivă a fibrozei și de prezicere a cirozei folosind marcheri de fibroză pe bază de ser (FibroTest/FibroSure, Fibro-MAX, FibroMeter.</w:t>
            </w:r>
          </w:p>
          <w:p w:rsidR="00FF5E27" w:rsidRPr="00FF5E27" w:rsidRDefault="00FF5E27" w:rsidP="00862E53">
            <w:pPr>
              <w:numPr>
                <w:ilvl w:val="0"/>
                <w:numId w:val="12"/>
              </w:numPr>
              <w:shd w:val="clear" w:color="auto" w:fill="FFFFFF"/>
              <w:tabs>
                <w:tab w:val="left" w:pos="175"/>
              </w:tabs>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Biopsia hepatică</w:t>
            </w:r>
          </w:p>
        </w:tc>
      </w:tr>
    </w:tbl>
    <w:p w:rsidR="00FF5E27" w:rsidRPr="00FF5E27" w:rsidRDefault="00FF5E27" w:rsidP="00FF5E27">
      <w:pPr>
        <w:shd w:val="clear" w:color="auto" w:fill="FFFFFF"/>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b/>
          <w:i/>
          <w:sz w:val="24"/>
          <w:szCs w:val="24"/>
          <w:lang w:val="ro-RO" w:eastAsia="ru-RU"/>
        </w:rPr>
        <w:lastRenderedPageBreak/>
        <w:t>Notă:</w:t>
      </w:r>
    </w:p>
    <w:p w:rsidR="00FF5E27" w:rsidRPr="00FF5E27" w:rsidRDefault="00FF5E27" w:rsidP="00FF5E27">
      <w:pPr>
        <w:shd w:val="clear" w:color="auto" w:fill="FFFFFF"/>
        <w:spacing w:after="0" w:line="240" w:lineRule="auto"/>
        <w:ind w:right="-755"/>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vertAlign w:val="superscript"/>
          <w:lang w:val="ro-RO" w:eastAsia="ru-RU"/>
        </w:rPr>
        <w:t>&amp;</w:t>
      </w:r>
      <w:r w:rsidRPr="00FF5E27">
        <w:rPr>
          <w:rFonts w:ascii="Times New Roman" w:eastAsia="Times New Roman" w:hAnsi="Times New Roman" w:cs="Times New Roman"/>
          <w:sz w:val="24"/>
          <w:szCs w:val="24"/>
          <w:vertAlign w:val="superscript"/>
          <w:lang w:val="ro-RO" w:eastAsia="ru-RU"/>
        </w:rPr>
        <w:t xml:space="preserve"> </w:t>
      </w:r>
      <w:r w:rsidRPr="00FF5E27">
        <w:rPr>
          <w:rFonts w:ascii="Times New Roman" w:eastAsia="Times New Roman" w:hAnsi="Times New Roman" w:cs="Times New Roman"/>
          <w:sz w:val="24"/>
          <w:szCs w:val="24"/>
          <w:lang w:val="ro-RO" w:eastAsia="ru-RU"/>
        </w:rPr>
        <w:t xml:space="preserve">Cercetările recomandabile se vor efectua după indicaţii stricte, cu argumentări </w:t>
      </w:r>
    </w:p>
    <w:p w:rsidR="00915F05" w:rsidRDefault="00FF5E27" w:rsidP="00FF5E27">
      <w:pPr>
        <w:shd w:val="clear" w:color="auto" w:fill="FFFFFF"/>
        <w:spacing w:after="0" w:line="240" w:lineRule="auto"/>
        <w:ind w:right="-755"/>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 Pentru persoanele care menționează alergie la medicamente în anamneză, în cazuri </w:t>
      </w:r>
    </w:p>
    <w:p w:rsidR="00FF5E27" w:rsidRPr="00FF5E27" w:rsidRDefault="00FF5E27" w:rsidP="00FF5E27">
      <w:pPr>
        <w:shd w:val="clear" w:color="auto" w:fill="FFFFFF"/>
        <w:spacing w:after="0" w:line="240" w:lineRule="auto"/>
        <w:ind w:right="-755"/>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speciale (eozinofilie) </w:t>
      </w:r>
    </w:p>
    <w:p w:rsidR="00FF5E27" w:rsidRPr="00FF5E27" w:rsidRDefault="00FF5E27" w:rsidP="00FF5E27">
      <w:pPr>
        <w:shd w:val="clear" w:color="auto" w:fill="FFFFFF"/>
        <w:spacing w:after="0" w:line="240" w:lineRule="auto"/>
        <w:ind w:right="-164"/>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^^În caz de suspiciune de hipertensiune portală</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La pacienții cu ciroză, supravegherea varicelor esofagiene prin endoscopie trebuie efectuată dacă varicele au fost prezente la endoscopia pre-tratament sau dacă numărul de trombocite scade sub 150.000 și elastografia crește la mai mult de 20 kPa (A1).</w:t>
      </w:r>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92" w:name="_Toc27770335"/>
      <w:bookmarkStart w:id="93" w:name="_Toc177994805"/>
      <w:r w:rsidRPr="00FF5E27">
        <w:rPr>
          <w:rFonts w:ascii="Times New Roman" w:eastAsia="Times New Roman" w:hAnsi="Times New Roman" w:cs="Times New Roman"/>
          <w:b/>
          <w:spacing w:val="15"/>
          <w:sz w:val="24"/>
          <w:szCs w:val="24"/>
          <w:lang w:val="ro-RO" w:eastAsia="x-none"/>
        </w:rPr>
        <w:t>C.2.3.6. Diagnosticul diferenţial</w:t>
      </w:r>
      <w:bookmarkEnd w:id="88"/>
      <w:bookmarkEnd w:id="89"/>
      <w:bookmarkEnd w:id="90"/>
      <w:bookmarkEnd w:id="91"/>
      <w:r w:rsidRPr="00FF5E27">
        <w:rPr>
          <w:rFonts w:ascii="Times New Roman" w:eastAsia="Times New Roman" w:hAnsi="Times New Roman" w:cs="Times New Roman"/>
          <w:b/>
          <w:spacing w:val="15"/>
          <w:sz w:val="24"/>
          <w:szCs w:val="24"/>
          <w:lang w:val="ro-RO" w:eastAsia="x-none"/>
        </w:rPr>
        <w:t xml:space="preserve"> al hepatitei virale C cronice</w:t>
      </w:r>
      <w:bookmarkEnd w:id="92"/>
      <w:bookmarkEnd w:id="93"/>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C61FA4">
        <w:tc>
          <w:tcPr>
            <w:tcW w:w="5000" w:type="pct"/>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Caseta 16. Diagnosticul diferenţial al hepatitei virale C cronice</w:t>
            </w:r>
            <w:r w:rsidRPr="00FF5E27">
              <w:rPr>
                <w:rFonts w:ascii="Times New Roman" w:eastAsia="Times New Roman" w:hAnsi="Times New Roman" w:cs="Times New Roman"/>
                <w:sz w:val="24"/>
                <w:szCs w:val="24"/>
                <w:lang w:val="ro-RO" w:eastAsia="ru-RU"/>
              </w:rPr>
              <w:t xml:space="preserve"> [25</w:t>
            </w:r>
            <w:hyperlink r:id="rId40" w:history="1"/>
            <w:r w:rsidRPr="00FF5E27">
              <w:rPr>
                <w:rFonts w:ascii="Times New Roman" w:eastAsia="Times New Roman" w:hAnsi="Times New Roman" w:cs="Times New Roman"/>
                <w:sz w:val="24"/>
                <w:szCs w:val="24"/>
                <w:lang w:val="ro-RO" w:eastAsia="ru-RU"/>
              </w:rPr>
              <w:t>]</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Bolile hepatice determinate de virusul hepatitei C necesită diferenţiere clinică cu alte hepatopatii.</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Aproximativ 45% dintre persoanele cu infecție cu VHC nu cunosc starea lor de VHC.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În hepatita virală C cronică există o disociere între nivelul activităţii serice ALT şi substratul morfologic. La persoanele cu ALT normal s-au evidenţiat modificări histologice moderate sau severe de hepatită virală C cronică în 30-40% din cazuri.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Persoanele cu EIA-VHC pozitivă și ARN-HCV pozitiv au dovezi ale infecției active cu virusul hepatitei C.</w:t>
            </w:r>
          </w:p>
        </w:tc>
      </w:tr>
    </w:tbl>
    <w:p w:rsidR="00862E53" w:rsidRDefault="00862E53"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94" w:name="_Toc205889019"/>
      <w:bookmarkStart w:id="95" w:name="_Toc331523461"/>
      <w:bookmarkStart w:id="96" w:name="_Toc331526269"/>
      <w:bookmarkStart w:id="97" w:name="_Toc331526436"/>
      <w:bookmarkStart w:id="98" w:name="_Toc27770337"/>
      <w:bookmarkStart w:id="99" w:name="_Toc177994806"/>
    </w:p>
    <w:p w:rsidR="00862E53" w:rsidRDefault="00862E53"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r w:rsidRPr="00FF5E27">
        <w:rPr>
          <w:rFonts w:ascii="Times New Roman" w:eastAsia="Times New Roman" w:hAnsi="Times New Roman" w:cs="Times New Roman"/>
          <w:b/>
          <w:spacing w:val="15"/>
          <w:sz w:val="24"/>
          <w:szCs w:val="24"/>
          <w:lang w:val="ro-RO" w:eastAsia="x-none"/>
        </w:rPr>
        <w:lastRenderedPageBreak/>
        <w:t>C.2.3.7. Criteriile de spitalizare</w:t>
      </w:r>
      <w:bookmarkStart w:id="100" w:name="_Toc205889020"/>
      <w:bookmarkStart w:id="101" w:name="_Toc331523462"/>
      <w:bookmarkStart w:id="102" w:name="_Toc331526270"/>
      <w:bookmarkStart w:id="103" w:name="_Toc331526437"/>
      <w:bookmarkEnd w:id="94"/>
      <w:bookmarkEnd w:id="95"/>
      <w:bookmarkEnd w:id="96"/>
      <w:bookmarkEnd w:id="97"/>
      <w:bookmarkEnd w:id="98"/>
      <w:bookmarkEnd w:id="99"/>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9"/>
      </w:tblGrid>
      <w:tr w:rsidR="00FF5E27" w:rsidRPr="00D645AA" w:rsidTr="00FF5E27">
        <w:tc>
          <w:tcPr>
            <w:tcW w:w="5000" w:type="pct"/>
          </w:tcPr>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Caseta 17. Criteriile de spitalizare</w:t>
            </w:r>
          </w:p>
          <w:p w:rsidR="00FF5E27" w:rsidRPr="00FF5E27" w:rsidRDefault="00FF5E27" w:rsidP="00862E53">
            <w:pPr>
              <w:numPr>
                <w:ilvl w:val="0"/>
                <w:numId w:val="29"/>
              </w:numPr>
              <w:spacing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Precizarea severității boli hepatice determinate de VHC și distincția dintre hepatită și ciroză hepatică.*</w:t>
            </w:r>
          </w:p>
          <w:p w:rsidR="00FF5E27" w:rsidRPr="00FF5E27" w:rsidRDefault="00FF5E27" w:rsidP="00862E53">
            <w:pPr>
              <w:numPr>
                <w:ilvl w:val="0"/>
                <w:numId w:val="29"/>
              </w:numPr>
              <w:spacing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Hepatita virală C cronică cu manifestări extrahepatice, inclusiv - autoimune pentru precizarea diagnosticului şi elaborarea tacticii de tratament adecvat.**</w:t>
            </w:r>
          </w:p>
          <w:p w:rsidR="00FF5E27" w:rsidRPr="00FF5E27" w:rsidRDefault="00FF5E27" w:rsidP="00862E53">
            <w:pPr>
              <w:numPr>
                <w:ilvl w:val="0"/>
                <w:numId w:val="29"/>
              </w:numPr>
              <w:spacing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Ciroza hepatică virală C cu progresarea rapidă a bolii pentru evaluarea indicațiilor de transplant hepatic.</w:t>
            </w:r>
          </w:p>
          <w:p w:rsidR="00FF5E27" w:rsidRPr="00FF5E27" w:rsidRDefault="00FF5E27" w:rsidP="00862E53">
            <w:pPr>
              <w:numPr>
                <w:ilvl w:val="0"/>
                <w:numId w:val="29"/>
              </w:numPr>
              <w:spacing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Ciroza hepatică virală C cu prezența complicațiilor cu risc vital.</w:t>
            </w:r>
          </w:p>
          <w:p w:rsidR="00FF5E27" w:rsidRPr="00FF5E27" w:rsidRDefault="00FF5E27" w:rsidP="00862E53">
            <w:pPr>
              <w:numPr>
                <w:ilvl w:val="0"/>
                <w:numId w:val="29"/>
              </w:numPr>
              <w:spacing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Boală hepatica cronică determinată de VHC cu suspecție de carcinom hepatocelular (formațiune tumorală identificată prin metodă imagistică +/- nivel sporit al alfa-fetoproteinei) pentru evaluarea diagnosticului clinic și identificarea tacticii terapeutice. </w:t>
            </w:r>
          </w:p>
          <w:p w:rsidR="00FF5E27" w:rsidRPr="00FF5E27" w:rsidRDefault="00FF5E27" w:rsidP="00862E53">
            <w:pPr>
              <w:numPr>
                <w:ilvl w:val="0"/>
                <w:numId w:val="29"/>
              </w:numPr>
              <w:spacing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Necesitatea intervenţiilor şi procedurilor de diagnostic, care nu </w:t>
            </w:r>
            <w:r w:rsidR="00961150">
              <w:rPr>
                <w:rFonts w:ascii="Times New Roman" w:eastAsia="Times New Roman" w:hAnsi="Times New Roman" w:cs="Times New Roman"/>
                <w:sz w:val="24"/>
                <w:szCs w:val="24"/>
                <w:lang w:val="ro-RO" w:eastAsia="ru-RU"/>
              </w:rPr>
              <w:t xml:space="preserve">pot fi executate în condiţii de </w:t>
            </w:r>
            <w:r w:rsidRPr="00FF5E27">
              <w:rPr>
                <w:rFonts w:ascii="Times New Roman" w:eastAsia="Times New Roman" w:hAnsi="Times New Roman" w:cs="Times New Roman"/>
                <w:sz w:val="24"/>
                <w:szCs w:val="24"/>
                <w:lang w:val="ro-RO" w:eastAsia="ru-RU"/>
              </w:rPr>
              <w:t>ambulator (laparoscopia, biopsia ficatului, colangiografia endoscopică retrogradă etc.).</w:t>
            </w:r>
          </w:p>
          <w:p w:rsidR="00FF5E27" w:rsidRPr="00FF5E27" w:rsidRDefault="00FF5E27" w:rsidP="00862E53">
            <w:pPr>
              <w:numPr>
                <w:ilvl w:val="0"/>
                <w:numId w:val="29"/>
              </w:numPr>
              <w:spacing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Pentru precizarea patologiei concomitente și individualizarea tratamentului antiviral.***</w:t>
            </w:r>
          </w:p>
          <w:p w:rsidR="00FF5E27" w:rsidRPr="00FF5E27" w:rsidRDefault="00FF5E27" w:rsidP="00862E53">
            <w:pPr>
              <w:numPr>
                <w:ilvl w:val="0"/>
                <w:numId w:val="29"/>
              </w:numPr>
              <w:spacing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Eventuale efecte adverse și complicații ale tratamentului antiviral.</w:t>
            </w:r>
          </w:p>
        </w:tc>
      </w:tr>
    </w:tbl>
    <w:p w:rsidR="00FF5E27" w:rsidRPr="00FF5E27" w:rsidRDefault="00FF5E27" w:rsidP="00FF5E27">
      <w:pPr>
        <w:autoSpaceDE w:val="0"/>
        <w:autoSpaceDN w:val="0"/>
        <w:adjustRightInd w:val="0"/>
        <w:spacing w:after="0" w:line="240" w:lineRule="auto"/>
        <w:jc w:val="both"/>
        <w:rPr>
          <w:rFonts w:ascii="Times New Roman" w:eastAsia="Times New Roman" w:hAnsi="Times New Roman" w:cs="Times New Roman"/>
          <w:b/>
          <w:bCs/>
          <w:i/>
          <w:iCs/>
          <w:sz w:val="24"/>
          <w:szCs w:val="24"/>
          <w:lang w:val="ro-RO" w:eastAsia="ru-RU"/>
        </w:rPr>
      </w:pPr>
      <w:r w:rsidRPr="00FF5E27">
        <w:rPr>
          <w:rFonts w:ascii="Times New Roman" w:eastAsia="Times New Roman" w:hAnsi="Times New Roman" w:cs="Times New Roman"/>
          <w:b/>
          <w:bCs/>
          <w:i/>
          <w:iCs/>
          <w:sz w:val="24"/>
          <w:szCs w:val="24"/>
          <w:lang w:val="ro-RO" w:eastAsia="ru-RU"/>
        </w:rPr>
        <w:t>Notă:</w:t>
      </w:r>
    </w:p>
    <w:p w:rsidR="00FF5E27" w:rsidRPr="00FF5E27" w:rsidRDefault="00FF5E27" w:rsidP="00862E53">
      <w:pPr>
        <w:numPr>
          <w:ilvl w:val="0"/>
          <w:numId w:val="19"/>
        </w:numPr>
        <w:autoSpaceDE w:val="0"/>
        <w:autoSpaceDN w:val="0"/>
        <w:adjustRightInd w:val="0"/>
        <w:spacing w:before="120" w:after="0" w:line="240" w:lineRule="auto"/>
        <w:ind w:left="284" w:right="-23" w:hanging="284"/>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*Constatarea suferinţei hepatice cronice difuze în asociere cu insuficienţa hepatocelulară cronică şi/sau cu sindrom de hipertensiune portală este caracteristică pentru ciroza hepatică. Stabilirea diagnosticului clinic de ciroză hepatică virală C necesită scorificarea după Child-Pugh și precizarea prezenței complicațiilor bolii.</w:t>
      </w:r>
    </w:p>
    <w:p w:rsidR="00FF5E27" w:rsidRPr="00FF5E27" w:rsidRDefault="00FF5E27" w:rsidP="00862E53">
      <w:pPr>
        <w:numPr>
          <w:ilvl w:val="0"/>
          <w:numId w:val="19"/>
        </w:numPr>
        <w:autoSpaceDE w:val="0"/>
        <w:autoSpaceDN w:val="0"/>
        <w:adjustRightInd w:val="0"/>
        <w:spacing w:before="120" w:after="0" w:line="240" w:lineRule="auto"/>
        <w:ind w:left="284" w:right="-23" w:hanging="284"/>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**Pentru o diferenţiere reuşită este necesar de identificat formele clinice particulare de hepatită: colestatică, cu hipersplenism, cu manifestări endocrine, cu porfirie, cu manifestări autoimune.</w:t>
      </w:r>
    </w:p>
    <w:p w:rsidR="00FF5E27" w:rsidRPr="00FF5E27" w:rsidRDefault="00FF5E27" w:rsidP="00862E53">
      <w:pPr>
        <w:numPr>
          <w:ilvl w:val="0"/>
          <w:numId w:val="19"/>
        </w:numPr>
        <w:autoSpaceDE w:val="0"/>
        <w:autoSpaceDN w:val="0"/>
        <w:adjustRightInd w:val="0"/>
        <w:spacing w:before="120" w:after="0" w:line="240" w:lineRule="auto"/>
        <w:ind w:left="284" w:right="-23" w:hanging="284"/>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Asocierea comorbidităților influențează decizia schemei tratamentului antivital și evoluţia bolii.</w:t>
      </w:r>
    </w:p>
    <w:p w:rsidR="00FF5E27" w:rsidRPr="00FF5E27" w:rsidRDefault="00FF5E27" w:rsidP="00FF5E27">
      <w:pPr>
        <w:spacing w:before="100"/>
        <w:rPr>
          <w:rFonts w:ascii="Times New Roman" w:eastAsia="Times New Roman" w:hAnsi="Times New Roman" w:cs="Times New Roman"/>
          <w:b/>
          <w:bCs/>
          <w:sz w:val="24"/>
          <w:szCs w:val="24"/>
          <w:lang w:val="ro-RO" w:eastAsia="ru-RU"/>
        </w:rPr>
      </w:pPr>
      <w:bookmarkStart w:id="104" w:name="_Toc27770338"/>
      <w:bookmarkStart w:id="105" w:name="_Toc177994807"/>
      <w:r w:rsidRPr="00FF5E27">
        <w:rPr>
          <w:rFonts w:ascii="Times New Roman" w:eastAsia="Times New Roman" w:hAnsi="Times New Roman" w:cs="Calibri"/>
          <w:b/>
          <w:bCs/>
          <w:spacing w:val="15"/>
          <w:sz w:val="24"/>
          <w:szCs w:val="20"/>
          <w:lang w:val="ro-RO" w:eastAsia="x-none"/>
        </w:rPr>
        <w:t xml:space="preserve">C.2.3.8. </w:t>
      </w:r>
      <w:bookmarkEnd w:id="100"/>
      <w:bookmarkEnd w:id="101"/>
      <w:bookmarkEnd w:id="102"/>
      <w:bookmarkEnd w:id="103"/>
      <w:r w:rsidRPr="00FF5E27">
        <w:rPr>
          <w:rFonts w:ascii="Times New Roman" w:eastAsia="Times New Roman" w:hAnsi="Times New Roman" w:cs="Calibri"/>
          <w:b/>
          <w:bCs/>
          <w:spacing w:val="15"/>
          <w:sz w:val="24"/>
          <w:szCs w:val="20"/>
          <w:lang w:val="ro-RO" w:eastAsia="x-none"/>
        </w:rPr>
        <w:t xml:space="preserve">Managementul infecției cronice cu virusul hepatitei </w:t>
      </w:r>
      <w:bookmarkEnd w:id="104"/>
      <w:r w:rsidRPr="00FF5E27">
        <w:rPr>
          <w:rFonts w:ascii="Times New Roman" w:eastAsia="Times New Roman" w:hAnsi="Times New Roman" w:cs="Calibri"/>
          <w:b/>
          <w:bCs/>
          <w:spacing w:val="15"/>
          <w:sz w:val="24"/>
          <w:szCs w:val="20"/>
          <w:lang w:val="ro-RO" w:eastAsia="x-none"/>
        </w:rPr>
        <w:t>C</w:t>
      </w:r>
      <w:bookmarkEnd w:id="105"/>
      <w:r w:rsidRPr="00FF5E27">
        <w:rPr>
          <w:rFonts w:ascii="Times New Roman" w:eastAsia="Times New Roman" w:hAnsi="Times New Roman" w:cs="Times New Roman"/>
          <w:sz w:val="24"/>
          <w:szCs w:val="20"/>
          <w:lang w:val="ro-RO" w:eastAsia="ru-RU"/>
        </w:rPr>
        <w:t xml:space="preserve"> [1, 3, 4, 7, 9, 11, 17, 18, 27, 33, 34, 41, 48, 49]</w:t>
      </w:r>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caps/>
          <w:spacing w:val="5"/>
          <w:sz w:val="24"/>
          <w:szCs w:val="24"/>
          <w:lang w:val="ro-RO" w:eastAsia="x-none"/>
        </w:rPr>
      </w:pPr>
      <w:bookmarkStart w:id="106" w:name="_Toc202203830"/>
      <w:bookmarkStart w:id="107" w:name="_Toc205889021"/>
      <w:bookmarkStart w:id="108" w:name="_Toc331523463"/>
      <w:bookmarkStart w:id="109" w:name="_Toc331526271"/>
      <w:bookmarkStart w:id="110" w:name="_Toc331526438"/>
      <w:bookmarkStart w:id="111" w:name="_Toc177994808"/>
      <w:r w:rsidRPr="00FF5E27">
        <w:rPr>
          <w:rFonts w:ascii="Times New Roman" w:eastAsia="Times New Roman" w:hAnsi="Times New Roman" w:cs="Times New Roman"/>
          <w:b/>
          <w:caps/>
          <w:spacing w:val="5"/>
          <w:sz w:val="24"/>
          <w:szCs w:val="24"/>
          <w:lang w:val="ro-RO" w:eastAsia="x-none"/>
        </w:rPr>
        <w:t>C.2.3.8</w:t>
      </w:r>
      <w:r w:rsidRPr="00FF5E27">
        <w:rPr>
          <w:rFonts w:ascii="Times New Roman" w:eastAsia="Times New Roman" w:hAnsi="Times New Roman" w:cs="Times New Roman"/>
          <w:b/>
          <w:spacing w:val="5"/>
          <w:sz w:val="24"/>
          <w:szCs w:val="24"/>
          <w:lang w:val="ro-RO" w:eastAsia="x-none"/>
        </w:rPr>
        <w:t>.1. Modificarea comportament</w:t>
      </w:r>
      <w:bookmarkEnd w:id="106"/>
      <w:bookmarkEnd w:id="107"/>
      <w:bookmarkEnd w:id="108"/>
      <w:bookmarkEnd w:id="109"/>
      <w:bookmarkEnd w:id="110"/>
      <w:r w:rsidRPr="00FF5E27">
        <w:rPr>
          <w:rFonts w:ascii="Times New Roman" w:eastAsia="Times New Roman" w:hAnsi="Times New Roman" w:cs="Times New Roman"/>
          <w:b/>
          <w:spacing w:val="5"/>
          <w:sz w:val="24"/>
          <w:szCs w:val="24"/>
          <w:lang w:val="ro-RO" w:eastAsia="x-none"/>
        </w:rPr>
        <w:t>ului</w:t>
      </w:r>
      <w:bookmarkEnd w:id="111"/>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9"/>
      </w:tblGrid>
      <w:tr w:rsidR="00FF5E27" w:rsidRPr="00D645AA" w:rsidTr="00C61FA4">
        <w:tc>
          <w:tcPr>
            <w:tcW w:w="5000" w:type="pct"/>
          </w:tcPr>
          <w:p w:rsidR="00FF5E27" w:rsidRPr="00FF5E27" w:rsidRDefault="00FF5E27" w:rsidP="00FF5E27">
            <w:pPr>
              <w:spacing w:after="0" w:line="240" w:lineRule="auto"/>
              <w:jc w:val="both"/>
              <w:rPr>
                <w:rFonts w:ascii="Times New Roman" w:eastAsia="Times New Roman" w:hAnsi="Times New Roman" w:cs="Times New Roman"/>
                <w:b/>
                <w:sz w:val="24"/>
                <w:szCs w:val="24"/>
                <w:lang w:val="ro-RO" w:eastAsia="ru-RU"/>
              </w:rPr>
            </w:pPr>
            <w:r w:rsidRPr="00FF5E27">
              <w:rPr>
                <w:rFonts w:ascii="Times New Roman" w:eastAsia="Times New Roman" w:hAnsi="Times New Roman" w:cs="Times New Roman"/>
                <w:b/>
                <w:sz w:val="24"/>
                <w:szCs w:val="24"/>
                <w:lang w:val="ro-RO" w:eastAsia="ru-RU"/>
              </w:rPr>
              <w:t>Caseta 18. Tratamentul nemedicamentos. Modificarea comportamentului pacienţilor cu hepatită virală cronică cu virusul hepatitei C/ciroză hepatică virală C</w:t>
            </w:r>
          </w:p>
          <w:p w:rsidR="00FF5E27" w:rsidRPr="00FF5E27" w:rsidRDefault="00FF5E27" w:rsidP="00461D8F">
            <w:pPr>
              <w:numPr>
                <w:ilvl w:val="0"/>
                <w:numId w:val="2"/>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Regim igieno-dietetic individualizat în funcție de severitatea bolii hepatice, prezența manifestărilor extrahepatice, a comorbidităților</w:t>
            </w:r>
          </w:p>
          <w:p w:rsidR="00FF5E27" w:rsidRPr="00FF5E27" w:rsidRDefault="00FF5E27" w:rsidP="00461D8F">
            <w:pPr>
              <w:numPr>
                <w:ilvl w:val="0"/>
                <w:numId w:val="2"/>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lang w:val="ro-RO" w:eastAsia="ru-RU"/>
              </w:rPr>
              <w:t>Persoanele care au boală hepatică determinată de infecția cronică cu VHC vor fi consiliați cu privire la protejarea ficatului de alte afecțiuni, inclusiv întreruperea consumului de alcool, strategii de scădere în greutate dacă sunt supraponderali și cum să minimizeze riscul de transmitere a VHC la alții.</w:t>
            </w:r>
          </w:p>
        </w:tc>
      </w:tr>
    </w:tbl>
    <w:p w:rsidR="00FF5E27" w:rsidRPr="00FF5E27" w:rsidRDefault="00FF5E27" w:rsidP="00FF5E27">
      <w:pPr>
        <w:spacing w:after="0" w:line="240" w:lineRule="auto"/>
        <w:jc w:val="both"/>
        <w:outlineLvl w:val="3"/>
        <w:rPr>
          <w:rFonts w:ascii="Times New Roman" w:eastAsia="Times New Roman" w:hAnsi="Times New Roman" w:cs="Times New Roman"/>
          <w:b/>
          <w:bCs/>
          <w:spacing w:val="5"/>
          <w:sz w:val="24"/>
          <w:szCs w:val="24"/>
          <w:lang w:val="ro-RO" w:eastAsia="x-none"/>
        </w:rPr>
      </w:pPr>
      <w:bookmarkStart w:id="112" w:name="_Toc205889022"/>
      <w:bookmarkStart w:id="113" w:name="_Toc331523464"/>
      <w:bookmarkStart w:id="114" w:name="_Toc331526272"/>
      <w:bookmarkStart w:id="115" w:name="_Toc331526439"/>
    </w:p>
    <w:p w:rsidR="00FF5E27" w:rsidRPr="00862E53" w:rsidRDefault="00FF5E27" w:rsidP="00862E53">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16" w:name="_Toc177994809"/>
      <w:r w:rsidRPr="00FF5E27">
        <w:rPr>
          <w:rFonts w:ascii="Times New Roman" w:eastAsia="Times New Roman" w:hAnsi="Times New Roman" w:cs="Times New Roman"/>
          <w:b/>
          <w:caps/>
          <w:spacing w:val="5"/>
          <w:sz w:val="24"/>
          <w:szCs w:val="24"/>
          <w:lang w:val="ro-RO" w:eastAsia="x-none"/>
        </w:rPr>
        <w:t xml:space="preserve">C.2.3.8.2. </w:t>
      </w:r>
      <w:bookmarkEnd w:id="112"/>
      <w:bookmarkEnd w:id="113"/>
      <w:bookmarkEnd w:id="114"/>
      <w:bookmarkEnd w:id="115"/>
      <w:r w:rsidRPr="00FF5E27">
        <w:rPr>
          <w:rFonts w:ascii="Times New Roman" w:eastAsia="Times New Roman" w:hAnsi="Times New Roman" w:cs="Times New Roman"/>
          <w:b/>
          <w:spacing w:val="15"/>
          <w:sz w:val="24"/>
          <w:szCs w:val="24"/>
          <w:lang w:val="ro-RO" w:eastAsia="x-none"/>
        </w:rPr>
        <w:t>Principii de bază în tratamentul pacientului cu hepatită virală cronică cu virusul hepatitei C/ciroză hepatică virală C</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FF5E27" w:rsidRPr="00D645AA" w:rsidTr="00FF5E27">
        <w:trPr>
          <w:trHeight w:val="3559"/>
        </w:trPr>
        <w:tc>
          <w:tcPr>
            <w:tcW w:w="5000" w:type="pct"/>
            <w:shd w:val="clear" w:color="auto" w:fill="auto"/>
          </w:tcPr>
          <w:p w:rsidR="00FF5E27" w:rsidRPr="00FF5E27" w:rsidRDefault="00961150" w:rsidP="00FF5E27">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b/>
                <w:sz w:val="24"/>
                <w:szCs w:val="24"/>
                <w:lang w:val="ro-RO" w:eastAsia="ru-RU"/>
              </w:rPr>
              <w:lastRenderedPageBreak/>
              <w:t>Caseta 19</w:t>
            </w:r>
            <w:r w:rsidR="00FF5E27" w:rsidRPr="00FF5E27">
              <w:rPr>
                <w:rFonts w:ascii="Times New Roman" w:eastAsia="Times New Roman" w:hAnsi="Times New Roman" w:cs="Times New Roman"/>
                <w:b/>
                <w:sz w:val="24"/>
                <w:szCs w:val="24"/>
                <w:lang w:val="ro-RO" w:eastAsia="ru-RU"/>
              </w:rPr>
              <w:t xml:space="preserve">. Scopul și obiectivele terapiei bolilor ficatului determinate de infecția cu VHC </w:t>
            </w:r>
            <w:r w:rsidR="00FF5E27" w:rsidRPr="00FF5E27">
              <w:rPr>
                <w:rFonts w:ascii="Times New Roman" w:eastAsia="Times New Roman" w:hAnsi="Times New Roman" w:cs="Times New Roman"/>
                <w:sz w:val="24"/>
                <w:szCs w:val="24"/>
                <w:lang w:val="ro-RO" w:eastAsia="ru-RU"/>
              </w:rPr>
              <w:t>[30]</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Scopul terapiei</w:t>
            </w:r>
            <w:r w:rsidRPr="00FF5E27">
              <w:rPr>
                <w:rFonts w:ascii="Times New Roman" w:eastAsia="Times New Roman" w:hAnsi="Times New Roman" w:cs="Times New Roman"/>
                <w:sz w:val="24"/>
                <w:szCs w:val="24"/>
                <w:lang w:val="ro-RO" w:eastAsia="ru-RU"/>
              </w:rPr>
              <w:t xml:space="preserve"> este de a vindeca infecția cu VHC, pentru: (I) prevenirea complicațiilor bolilor hepatice și extrahepatice legate de VHC, inclusiv necroinflamația hepatică, fibroza, ciroza, decompensarea cirozei, HCC, manifestările extrahepatice severe și decesul; (II) îmbunătățirea calității vieții și eliminarea stigmatizării; (III) prevenirea transmiterii ulterioare a VHC prin tratament (A1).</w:t>
            </w:r>
            <w:r w:rsidRPr="00FF5E27">
              <w:rPr>
                <w:rFonts w:ascii="Times New Roman" w:eastAsia="Times New Roman" w:hAnsi="Times New Roman" w:cs="Times New Roman"/>
                <w:b/>
                <w:bCs/>
                <w:i/>
                <w:iCs/>
                <w:sz w:val="24"/>
                <w:szCs w:val="24"/>
                <w:lang w:val="ro-RO" w:eastAsia="ru-RU"/>
              </w:rPr>
              <w:t xml:space="preserve">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Obiectivele</w:t>
            </w:r>
            <w:r w:rsidRPr="00FF5E27">
              <w:rPr>
                <w:rFonts w:ascii="Times New Roman" w:eastAsia="Times New Roman" w:hAnsi="Times New Roman" w:cs="Times New Roman"/>
                <w:b/>
                <w:bCs/>
                <w:sz w:val="24"/>
                <w:szCs w:val="24"/>
                <w:lang w:val="ro-RO" w:eastAsia="ru-RU"/>
              </w:rPr>
              <w:t xml:space="preserve"> tratamentului antiviral</w:t>
            </w:r>
          </w:p>
          <w:p w:rsidR="00FF5E27" w:rsidRPr="00FF5E27" w:rsidRDefault="00FF5E27" w:rsidP="00461D8F">
            <w:pPr>
              <w:numPr>
                <w:ilvl w:val="0"/>
                <w:numId w:val="52"/>
              </w:numPr>
              <w:shd w:val="clear" w:color="auto" w:fill="FFFFFF"/>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Obiectivul terapiei este ARN-HCV nedetectabil în ser sau plasmă printr-un test cu o limită inferioară de cuantificare ≤ 15 UI/ml, la 12 săptămâni (</w:t>
            </w:r>
            <w:bookmarkStart w:id="117" w:name="_Hlk169601424"/>
            <w:r w:rsidRPr="00FF5E27">
              <w:rPr>
                <w:rFonts w:ascii="Times New Roman" w:eastAsia="Times New Roman" w:hAnsi="Times New Roman" w:cs="Times New Roman"/>
                <w:sz w:val="24"/>
                <w:szCs w:val="24"/>
                <w:lang w:val="ro-RO"/>
              </w:rPr>
              <w:t>SVR12) sau la 24 săptămâni (SVR24) după finisarea tratamentului (A1).</w:t>
            </w:r>
          </w:p>
          <w:bookmarkEnd w:id="117"/>
          <w:p w:rsidR="00FF5E27" w:rsidRPr="00FF5E27" w:rsidRDefault="00FF5E27" w:rsidP="00461D8F">
            <w:pPr>
              <w:numPr>
                <w:ilvl w:val="0"/>
                <w:numId w:val="52"/>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cu fibroză avansată (scor METAVIR F3) și ciroză (scor METAVIR F4), supravegherea pentru HCC trebuie continuată deoarece SVR va reduce, dar nu va elimina riscul de HCC (A1).</w:t>
            </w:r>
          </w:p>
        </w:tc>
      </w:tr>
    </w:tbl>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F5E27">
        <w:tc>
          <w:tcPr>
            <w:tcW w:w="5000" w:type="pct"/>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bookmarkStart w:id="118" w:name="_Toc202203832"/>
            <w:bookmarkStart w:id="119" w:name="_Toc205889023"/>
            <w:bookmarkStart w:id="120" w:name="_Toc331523465"/>
            <w:bookmarkStart w:id="121" w:name="_Toc331526273"/>
            <w:bookmarkStart w:id="122" w:name="_Toc331526440"/>
            <w:r w:rsidRPr="00FF5E27">
              <w:rPr>
                <w:rFonts w:ascii="Times New Roman" w:eastAsia="Times New Roman" w:hAnsi="Times New Roman" w:cs="Times New Roman"/>
                <w:b/>
                <w:sz w:val="24"/>
                <w:szCs w:val="24"/>
                <w:lang w:val="ro-RO" w:eastAsia="ru-RU"/>
              </w:rPr>
              <w:t>Caseta 21.</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b/>
                <w:bCs/>
                <w:sz w:val="24"/>
                <w:szCs w:val="24"/>
                <w:lang w:val="ro-RO" w:eastAsia="ru-RU"/>
              </w:rPr>
              <w:t xml:space="preserve">Indicații pentru tratamentul antiviral: cine trebuie tratat?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53"/>
              </w:numPr>
              <w:shd w:val="clear" w:color="auto" w:fill="FFFFFF"/>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Tuturor pacienților care nu au administrat tratament și pacienților cu experiență la tratament, cu infecție cu VHC recent dobândită sau cronică trebuie să li se ofere tratament fără întârziere (A1).</w:t>
            </w:r>
          </w:p>
          <w:p w:rsidR="00FF5E27" w:rsidRPr="00FF5E27" w:rsidRDefault="00FF5E27" w:rsidP="00461D8F">
            <w:pPr>
              <w:numPr>
                <w:ilvl w:val="0"/>
                <w:numId w:val="53"/>
              </w:numPr>
              <w:shd w:val="clear" w:color="auto" w:fill="FFFFFF"/>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Tratamentul de urgență trebuie luat în considerare: la pacienții cu fibroză sau ciroză semnificativă (scor METAVIR F2, F3 sau F4), inclusiv ciroza compensată (Child-Pugh A) și decompensată (Child-Pugh B sau C); la pacienții cu manifestări extrahepatice semnificative clinic (de exemplu, vasculită simptomatică asociată cu crioglobulinemie mixtă legată de VHC, nefropatie legată de complexul imun al VHC și limfom cu celule B non-Hodgkin); la pacienții cu recidivă a VHC după transplant hepatic; la pacienții cu risc de evoluție rapidă a bolii hepatice din cauza comorbidităților concomitente (primitori de transplant de organe solide sau celule stem nonhepatice, coinfecții cu VHB și HIV, diabet); și la persoanele cu risc de transmitere a VHC (PWID, BSB, cu practici sexuale cu risc ridicat, femei aflate la vârsta fertilă care doresc să rămână însărcinate, pacienți pe hemodializă, persoane încarcerate) (A1).</w:t>
            </w:r>
          </w:p>
          <w:p w:rsidR="00FF5E27" w:rsidRPr="00FF5E27" w:rsidRDefault="00FF5E27" w:rsidP="00461D8F">
            <w:pPr>
              <w:numPr>
                <w:ilvl w:val="0"/>
                <w:numId w:val="53"/>
              </w:numPr>
              <w:shd w:val="clear" w:color="auto" w:fill="FFFFFF"/>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Tratamentul nu este, în general, recomandat la pacienții cu speranță de viață limitată din cauza comorbidităților care nu sunt legate de ficat (B2).</w:t>
            </w:r>
          </w:p>
        </w:tc>
      </w:tr>
      <w:bookmarkEnd w:id="118"/>
      <w:bookmarkEnd w:id="119"/>
      <w:bookmarkEnd w:id="120"/>
      <w:bookmarkEnd w:id="121"/>
      <w:bookmarkEnd w:id="122"/>
    </w:tbl>
    <w:p w:rsidR="00FF5E27" w:rsidRPr="00FF5E27" w:rsidRDefault="00FF5E27" w:rsidP="00FF5E27">
      <w:pPr>
        <w:spacing w:after="0" w:line="240" w:lineRule="auto"/>
        <w:jc w:val="both"/>
        <w:rPr>
          <w:rFonts w:ascii="Times New Roman" w:eastAsia="Times New Roman" w:hAnsi="Times New Roman" w:cs="Times New Roman"/>
          <w:b/>
          <w:iCs/>
          <w:sz w:val="24"/>
          <w:szCs w:val="24"/>
          <w:lang w:val="ro-RO" w:eastAsia="ru-RU"/>
        </w:rPr>
      </w:pPr>
    </w:p>
    <w:p w:rsidR="00FF5E27" w:rsidRPr="00FF5E27" w:rsidRDefault="00FF5E27" w:rsidP="00FF5E27">
      <w:pPr>
        <w:spacing w:after="0" w:line="240" w:lineRule="auto"/>
        <w:jc w:val="both"/>
        <w:rPr>
          <w:rFonts w:ascii="Times New Roman" w:eastAsia="Times New Roman" w:hAnsi="Times New Roman" w:cs="Times New Roman"/>
          <w:b/>
          <w:iCs/>
          <w:sz w:val="24"/>
          <w:szCs w:val="24"/>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F5E27">
        <w:tc>
          <w:tcPr>
            <w:tcW w:w="983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iCs/>
                <w:sz w:val="24"/>
                <w:szCs w:val="24"/>
                <w:lang w:val="ro-RO" w:eastAsia="ru-RU"/>
              </w:rPr>
              <w:t xml:space="preserve">Caseta 22. </w:t>
            </w:r>
            <w:r w:rsidRPr="00FF5E27">
              <w:rPr>
                <w:rFonts w:ascii="Times New Roman" w:eastAsia="Times New Roman" w:hAnsi="Times New Roman" w:cs="Times New Roman"/>
                <w:b/>
                <w:sz w:val="24"/>
                <w:szCs w:val="24"/>
                <w:lang w:val="ro-RO" w:eastAsia="ru-RU"/>
              </w:rPr>
              <w:t xml:space="preserve">Contraindicații ale tratamentului cu combinații de medicamente antivirale cu acțiune directă (DAA) asupra VHC </w:t>
            </w:r>
            <w:r w:rsidRPr="00FF5E27">
              <w:rPr>
                <w:rFonts w:ascii="Times New Roman" w:eastAsia="Times New Roman" w:hAnsi="Times New Roman" w:cs="Times New Roman"/>
                <w:b/>
                <w:bCs/>
                <w:sz w:val="24"/>
                <w:szCs w:val="24"/>
                <w:lang w:val="ro-RO" w:eastAsia="ru-RU"/>
              </w:rPr>
              <w:t xml:space="preserve">(DAAs)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54"/>
              </w:numPr>
              <w:shd w:val="clear" w:color="auto" w:fill="FFFFFF"/>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Există puține contraindicații pentru tratamentele actuale pe bază de DAA (A1).</w:t>
            </w:r>
          </w:p>
          <w:p w:rsidR="00FF5E27" w:rsidRPr="00FF5E27" w:rsidRDefault="00FF5E27" w:rsidP="00461D8F">
            <w:pPr>
              <w:numPr>
                <w:ilvl w:val="0"/>
                <w:numId w:val="54"/>
              </w:numPr>
              <w:shd w:val="clear" w:color="auto" w:fill="FFFFFF"/>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Utilizarea anumitor agenți inductori ai citocromului P450/P-gp (cum ar fi </w:t>
            </w:r>
            <w:r w:rsidRPr="00FF5E27">
              <w:rPr>
                <w:rFonts w:ascii="Times New Roman" w:eastAsia="Times New Roman" w:hAnsi="Times New Roman" w:cs="Times New Roman"/>
                <w:i/>
                <w:sz w:val="24"/>
                <w:szCs w:val="24"/>
                <w:lang w:val="ro-RO"/>
              </w:rPr>
              <w:t xml:space="preserve">carbamazepina, fenitoina </w:t>
            </w:r>
            <w:r w:rsidRPr="00FF5E27">
              <w:rPr>
                <w:rFonts w:ascii="Times New Roman" w:eastAsia="Times New Roman" w:hAnsi="Times New Roman" w:cs="Times New Roman"/>
                <w:sz w:val="24"/>
                <w:szCs w:val="24"/>
                <w:lang w:val="ro-RO"/>
              </w:rPr>
              <w:t>și</w:t>
            </w:r>
            <w:r w:rsidRPr="00FF5E27">
              <w:rPr>
                <w:rFonts w:ascii="Times New Roman" w:eastAsia="Times New Roman" w:hAnsi="Times New Roman" w:cs="Times New Roman"/>
                <w:i/>
                <w:sz w:val="24"/>
                <w:szCs w:val="24"/>
                <w:lang w:val="ro-RO"/>
              </w:rPr>
              <w:t xml:space="preserve"> fenobarbitalul</w:t>
            </w:r>
            <w:r w:rsidRPr="00FF5E27">
              <w:rPr>
                <w:rFonts w:ascii="Times New Roman" w:eastAsia="Times New Roman" w:hAnsi="Times New Roman" w:cs="Times New Roman"/>
                <w:sz w:val="24"/>
                <w:szCs w:val="24"/>
                <w:lang w:val="ro-RO"/>
              </w:rPr>
              <w:t xml:space="preserve">) contraindică toate regimurile de DAA dacă acești agenți nu pot fi schimbați cu alte medicamente, din cauza riscului de reducere semnificativă a concentrațiilor de </w:t>
            </w:r>
            <w:r w:rsidRPr="00FF5E27">
              <w:rPr>
                <w:rFonts w:ascii="Times New Roman" w:eastAsia="Times New Roman" w:hAnsi="Times New Roman" w:cs="Times New Roman"/>
                <w:bCs/>
                <w:sz w:val="24"/>
                <w:szCs w:val="24"/>
                <w:lang w:val="ro-RO"/>
              </w:rPr>
              <w:t xml:space="preserve">medicamente antivirale cu acțiune directă (DAA) asupra VHC </w:t>
            </w:r>
            <w:r w:rsidRPr="00FF5E27">
              <w:rPr>
                <w:rFonts w:ascii="Times New Roman" w:eastAsia="Times New Roman" w:hAnsi="Times New Roman" w:cs="Times New Roman"/>
                <w:sz w:val="24"/>
                <w:szCs w:val="24"/>
                <w:lang w:val="ro-RO"/>
              </w:rPr>
              <w:t>( A1).</w:t>
            </w:r>
          </w:p>
          <w:p w:rsidR="00FF5E27" w:rsidRPr="00FF5E27" w:rsidRDefault="00FF5E27" w:rsidP="00461D8F">
            <w:pPr>
              <w:numPr>
                <w:ilvl w:val="0"/>
                <w:numId w:val="54"/>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sz w:val="24"/>
                <w:szCs w:val="24"/>
                <w:lang w:val="ro-RO"/>
              </w:rPr>
              <w:t>Regimurile de tratament care cuprind un inhibitor de protează VHC, cum ar fi grazoprevirum*, glecaprevirum* sau voxilaprevirum*, sunt contraindicate la pacienții cu ciroză decompensată (Child-Pugh B sau C) și la pacienții cu episoade anterioare de decompensare (A1).</w:t>
            </w:r>
          </w:p>
        </w:tc>
      </w:tr>
    </w:tbl>
    <w:p w:rsidR="00FF5E27" w:rsidRPr="00FF5E27" w:rsidRDefault="00FF5E27" w:rsidP="00FF5E27">
      <w:pPr>
        <w:spacing w:after="0" w:line="240" w:lineRule="auto"/>
        <w:jc w:val="both"/>
        <w:rPr>
          <w:rFonts w:ascii="Times New Roman" w:eastAsia="Times New Roman" w:hAnsi="Times New Roman" w:cs="Times New Roman"/>
          <w:b/>
          <w:iCs/>
          <w:sz w:val="24"/>
          <w:szCs w:val="24"/>
          <w:lang w:val="ro-RO" w:eastAsia="ru-RU"/>
        </w:rPr>
      </w:pP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iCs/>
          <w:sz w:val="24"/>
          <w:szCs w:val="24"/>
          <w:lang w:val="ro-RO" w:eastAsia="ru-RU"/>
        </w:rPr>
        <w:lastRenderedPageBreak/>
        <w:t>Tabelul</w:t>
      </w:r>
      <w:r w:rsidR="00955272">
        <w:rPr>
          <w:rFonts w:ascii="Times New Roman" w:eastAsia="Times New Roman" w:hAnsi="Times New Roman" w:cs="Times New Roman"/>
          <w:b/>
          <w:iCs/>
          <w:sz w:val="24"/>
          <w:szCs w:val="24"/>
          <w:lang w:val="ro-RO" w:eastAsia="ru-RU"/>
        </w:rPr>
        <w:t xml:space="preserve"> 10</w:t>
      </w:r>
      <w:r w:rsidRPr="00FF5E27">
        <w:rPr>
          <w:rFonts w:ascii="Times New Roman" w:eastAsia="Times New Roman" w:hAnsi="Times New Roman" w:cs="Times New Roman"/>
          <w:b/>
          <w:iCs/>
          <w:sz w:val="24"/>
          <w:szCs w:val="24"/>
          <w:lang w:val="ro-RO" w:eastAsia="ru-RU"/>
        </w:rPr>
        <w:t xml:space="preserve">. Lista </w:t>
      </w:r>
      <w:r w:rsidRPr="00FF5E27">
        <w:rPr>
          <w:rFonts w:ascii="Times New Roman" w:eastAsia="Times New Roman" w:hAnsi="Times New Roman" w:cs="Times New Roman"/>
          <w:b/>
          <w:sz w:val="24"/>
          <w:szCs w:val="24"/>
          <w:lang w:val="ro-RO" w:eastAsia="ru-RU"/>
        </w:rPr>
        <w:t xml:space="preserve">medicamentelor cu acțiune antivirală directă (DAA) </w:t>
      </w:r>
      <w:r w:rsidRPr="00FF5E27">
        <w:rPr>
          <w:rFonts w:ascii="Times New Roman" w:eastAsia="Times New Roman" w:hAnsi="Times New Roman" w:cs="Times New Roman"/>
          <w:b/>
          <w:bCs/>
          <w:sz w:val="24"/>
          <w:szCs w:val="24"/>
          <w:lang w:val="ro-RO" w:eastAsia="ru-RU"/>
        </w:rPr>
        <w:t xml:space="preserve">aprobate în Europa, pentru tratamentul infecției cu VHC și formulări pediatrice încă neaprobate (informații furnizate de </w:t>
      </w:r>
      <w:r w:rsidRPr="00FF5E27">
        <w:rPr>
          <w:rFonts w:ascii="Times New Roman" w:eastAsia="Times New Roman" w:hAnsi="Times New Roman" w:cs="Times New Roman"/>
          <w:b/>
          <w:bCs/>
          <w:i/>
          <w:iCs/>
          <w:sz w:val="24"/>
          <w:szCs w:val="24"/>
          <w:lang w:val="ro-RO" w:eastAsia="ru-RU"/>
        </w:rPr>
        <w:t>Abbvie</w:t>
      </w:r>
      <w:r w:rsidRPr="00FF5E27">
        <w:rPr>
          <w:rFonts w:ascii="Times New Roman" w:eastAsia="Times New Roman" w:hAnsi="Times New Roman" w:cs="Times New Roman"/>
          <w:b/>
          <w:bCs/>
          <w:sz w:val="24"/>
          <w:szCs w:val="24"/>
          <w:lang w:val="ro-RO" w:eastAsia="ru-RU"/>
        </w:rPr>
        <w:t xml:space="preserve"> și </w:t>
      </w:r>
      <w:r w:rsidRPr="00FF5E27">
        <w:rPr>
          <w:rFonts w:ascii="Times New Roman" w:eastAsia="Times New Roman" w:hAnsi="Times New Roman" w:cs="Times New Roman"/>
          <w:b/>
          <w:bCs/>
          <w:i/>
          <w:iCs/>
          <w:sz w:val="24"/>
          <w:szCs w:val="24"/>
          <w:lang w:val="ro-RO" w:eastAsia="ru-RU"/>
        </w:rPr>
        <w:t xml:space="preserve">Gilead </w:t>
      </w:r>
      <w:r w:rsidRPr="00FF5E27">
        <w:rPr>
          <w:rFonts w:ascii="Times New Roman" w:eastAsia="Times New Roman" w:hAnsi="Times New Roman" w:cs="Times New Roman"/>
          <w:b/>
          <w:bCs/>
          <w:sz w:val="24"/>
          <w:szCs w:val="24"/>
          <w:lang w:val="ro-RO" w:eastAsia="ru-RU"/>
        </w:rPr>
        <w:t>la cererea comisiei)</w:t>
      </w:r>
      <w:r w:rsidRPr="00FF5E27">
        <w:rPr>
          <w:rFonts w:ascii="Times New Roman" w:eastAsia="Times New Roman" w:hAnsi="Times New Roman" w:cs="Times New Roman"/>
          <w:sz w:val="24"/>
          <w:szCs w:val="24"/>
          <w:lang w:val="ro-RO" w:eastAsia="ru-RU"/>
        </w:rPr>
        <w:t xml:space="preserve"> [27]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36"/>
        <w:gridCol w:w="2835"/>
      </w:tblGrid>
      <w:tr w:rsidR="00FF5E27" w:rsidRPr="00FF5E27" w:rsidTr="00C61FA4">
        <w:tc>
          <w:tcPr>
            <w:tcW w:w="223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Produs</w:t>
            </w:r>
          </w:p>
        </w:tc>
        <w:tc>
          <w:tcPr>
            <w:tcW w:w="4536"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Prezentare</w:t>
            </w:r>
          </w:p>
        </w:tc>
        <w:tc>
          <w:tcPr>
            <w:tcW w:w="283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Pozologie</w:t>
            </w:r>
          </w:p>
        </w:tc>
      </w:tr>
      <w:tr w:rsidR="00FF5E27" w:rsidRPr="00D645AA" w:rsidTr="00C61FA4">
        <w:tc>
          <w:tcPr>
            <w:tcW w:w="223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Sofosbuvirum*</w:t>
            </w:r>
          </w:p>
        </w:tc>
        <w:tc>
          <w:tcPr>
            <w:tcW w:w="4536" w:type="dxa"/>
            <w:shd w:val="clear" w:color="auto" w:fill="auto"/>
          </w:tcPr>
          <w:p w:rsidR="00FF5E27" w:rsidRPr="00FF5E27" w:rsidRDefault="00FF5E27" w:rsidP="00461D8F">
            <w:pPr>
              <w:numPr>
                <w:ilvl w:val="0"/>
                <w:numId w:val="57"/>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Comprimate care conțin 400 mg sofosbuvirum*</w:t>
            </w:r>
          </w:p>
          <w:p w:rsidR="00FF5E27" w:rsidRPr="00FF5E27" w:rsidRDefault="00FF5E27" w:rsidP="00461D8F">
            <w:pPr>
              <w:numPr>
                <w:ilvl w:val="0"/>
                <w:numId w:val="57"/>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Comprimate cu jumătate de concentrație care conțin 200 mg sofosbuvirum*</w:t>
            </w:r>
          </w:p>
        </w:tc>
        <w:tc>
          <w:tcPr>
            <w:tcW w:w="2835" w:type="dxa"/>
            <w:shd w:val="clear" w:color="auto" w:fill="auto"/>
          </w:tcPr>
          <w:p w:rsidR="00FF5E27" w:rsidRPr="00FF5E27" w:rsidRDefault="00FF5E27" w:rsidP="00461D8F">
            <w:pPr>
              <w:numPr>
                <w:ilvl w:val="0"/>
                <w:numId w:val="58"/>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1 comprimat, o dată pe zi, cu sau fără alimente</w:t>
            </w:r>
          </w:p>
          <w:p w:rsidR="00FF5E27" w:rsidRPr="00FF5E27" w:rsidRDefault="00FF5E27" w:rsidP="00461D8F">
            <w:pPr>
              <w:numPr>
                <w:ilvl w:val="0"/>
                <w:numId w:val="58"/>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1 comprimat, o dată pe zi, cu sau fără alimente</w:t>
            </w:r>
          </w:p>
        </w:tc>
      </w:tr>
      <w:tr w:rsidR="00FF5E27" w:rsidRPr="00D645AA" w:rsidTr="00C61FA4">
        <w:tc>
          <w:tcPr>
            <w:tcW w:w="223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Sofosbuvirum+velpatasvirum*</w:t>
            </w:r>
          </w:p>
        </w:tc>
        <w:tc>
          <w:tcPr>
            <w:tcW w:w="4536" w:type="dxa"/>
            <w:shd w:val="clear" w:color="auto" w:fill="auto"/>
          </w:tcPr>
          <w:p w:rsidR="00FF5E27" w:rsidRPr="00FF5E27" w:rsidRDefault="00FF5E27" w:rsidP="00461D8F">
            <w:pPr>
              <w:numPr>
                <w:ilvl w:val="0"/>
                <w:numId w:val="60"/>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Comprimate care conțin 400 mg sofosbuvirum și 100 mg velpatasvirum*</w:t>
            </w:r>
          </w:p>
          <w:p w:rsidR="00FF5E27" w:rsidRPr="00FF5E27" w:rsidRDefault="00FF5E27" w:rsidP="00461D8F">
            <w:pPr>
              <w:numPr>
                <w:ilvl w:val="0"/>
                <w:numId w:val="60"/>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Comprimate cu jumătate de concentrație care conțin 200 mg sofosbuvirum și 50 mg velpatasvirum*</w:t>
            </w:r>
          </w:p>
          <w:p w:rsidR="00FF5E27" w:rsidRPr="00FF5E27" w:rsidRDefault="00FF5E27" w:rsidP="00461D8F">
            <w:pPr>
              <w:numPr>
                <w:ilvl w:val="0"/>
                <w:numId w:val="60"/>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Granule care conțin 50 mg sofosbuvirum și 12,5 mg velpatasvirum*.</w:t>
            </w:r>
          </w:p>
        </w:tc>
        <w:tc>
          <w:tcPr>
            <w:tcW w:w="2835" w:type="dxa"/>
            <w:shd w:val="clear" w:color="auto" w:fill="auto"/>
          </w:tcPr>
          <w:p w:rsidR="00FF5E27" w:rsidRPr="00FF5E27" w:rsidRDefault="00FF5E27" w:rsidP="00461D8F">
            <w:pPr>
              <w:numPr>
                <w:ilvl w:val="0"/>
                <w:numId w:val="59"/>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1 comprimat administrat oral o dată pe zi, cu sau fără alimente.</w:t>
            </w:r>
          </w:p>
          <w:p w:rsidR="00FF5E27" w:rsidRPr="00FF5E27" w:rsidRDefault="00FF5E27" w:rsidP="00461D8F">
            <w:pPr>
              <w:numPr>
                <w:ilvl w:val="0"/>
                <w:numId w:val="59"/>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Trei sau patru granule o data pe zi, zilnic, în funcție de greutatea corporală</w:t>
            </w:r>
          </w:p>
        </w:tc>
      </w:tr>
      <w:tr w:rsidR="00FF5E27" w:rsidRPr="00D645AA" w:rsidTr="00C61FA4">
        <w:tc>
          <w:tcPr>
            <w:tcW w:w="223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Sofosbuvirum + velpatasvirum + voxilaprevirum*</w:t>
            </w:r>
          </w:p>
        </w:tc>
        <w:tc>
          <w:tcPr>
            <w:tcW w:w="4536" w:type="dxa"/>
            <w:shd w:val="clear" w:color="auto" w:fill="auto"/>
          </w:tcPr>
          <w:p w:rsidR="00FF5E27" w:rsidRPr="00FF5E27" w:rsidRDefault="00FF5E27" w:rsidP="00461D8F">
            <w:pPr>
              <w:numPr>
                <w:ilvl w:val="0"/>
                <w:numId w:val="61"/>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Tablete care conțin 400 mg sofosbuvirum, 100 mg Velpatasvirum și 100 mg voxilaprevirum*.</w:t>
            </w:r>
          </w:p>
        </w:tc>
        <w:tc>
          <w:tcPr>
            <w:tcW w:w="2835" w:type="dxa"/>
            <w:shd w:val="clear" w:color="auto" w:fill="auto"/>
          </w:tcPr>
          <w:p w:rsidR="00FF5E27" w:rsidRPr="00FF5E27" w:rsidRDefault="00FF5E27" w:rsidP="00461D8F">
            <w:pPr>
              <w:numPr>
                <w:ilvl w:val="0"/>
                <w:numId w:val="62"/>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1 comprimat administrat oral o dată pe zi, </w:t>
            </w:r>
            <w:r w:rsidRPr="00FF5E27">
              <w:rPr>
                <w:rFonts w:ascii="Times New Roman" w:eastAsia="Times New Roman" w:hAnsi="Times New Roman" w:cs="Times New Roman"/>
                <w:sz w:val="24"/>
                <w:szCs w:val="24"/>
                <w:u w:val="single"/>
                <w:lang w:val="ro-RO" w:eastAsia="ru-RU"/>
              </w:rPr>
              <w:t>cu alimente</w:t>
            </w:r>
          </w:p>
        </w:tc>
      </w:tr>
      <w:tr w:rsidR="00FF5E27" w:rsidRPr="00D645AA" w:rsidTr="00C61FA4">
        <w:tc>
          <w:tcPr>
            <w:tcW w:w="223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Glecaprevirum + pibrentasvirum*</w:t>
            </w:r>
          </w:p>
        </w:tc>
        <w:tc>
          <w:tcPr>
            <w:tcW w:w="4536" w:type="dxa"/>
            <w:shd w:val="clear" w:color="auto" w:fill="auto"/>
          </w:tcPr>
          <w:p w:rsidR="00FF5E27" w:rsidRPr="00FF5E27" w:rsidRDefault="00FF5E27" w:rsidP="00461D8F">
            <w:pPr>
              <w:numPr>
                <w:ilvl w:val="0"/>
                <w:numId w:val="55"/>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Tablete care conțin 100 mg glecaprevirum și 40 mg pibrentasvirum*.</w:t>
            </w:r>
          </w:p>
          <w:p w:rsidR="00FF5E27" w:rsidRPr="00FF5E27" w:rsidRDefault="00FF5E27" w:rsidP="00461D8F">
            <w:pPr>
              <w:numPr>
                <w:ilvl w:val="0"/>
                <w:numId w:val="55"/>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Granule filmate de glecaprevirum și pibrentasvirum* în plicuri care conțin 50 mg glecaprevirum și 20 mg pibrentasvirum* amestecate împreună într-o cantitate mică de alimente.</w:t>
            </w:r>
          </w:p>
        </w:tc>
        <w:tc>
          <w:tcPr>
            <w:tcW w:w="2835" w:type="dxa"/>
            <w:shd w:val="clear" w:color="auto" w:fill="auto"/>
          </w:tcPr>
          <w:p w:rsidR="00FF5E27" w:rsidRPr="00FF5E27" w:rsidRDefault="00FF5E27" w:rsidP="00461D8F">
            <w:pPr>
              <w:numPr>
                <w:ilvl w:val="0"/>
                <w:numId w:val="56"/>
              </w:numPr>
              <w:spacing w:before="100" w:after="0" w:line="240" w:lineRule="auto"/>
              <w:ind w:left="414" w:hanging="357"/>
              <w:contextualSpacing/>
              <w:jc w:val="both"/>
              <w:rPr>
                <w:rFonts w:ascii="Times New Roman" w:eastAsia="Times New Roman" w:hAnsi="Times New Roman" w:cs="Times New Roman"/>
                <w:sz w:val="24"/>
                <w:szCs w:val="24"/>
                <w:u w:val="single"/>
                <w:lang w:val="ro-RO" w:eastAsia="ru-RU"/>
              </w:rPr>
            </w:pPr>
            <w:r w:rsidRPr="00FF5E27">
              <w:rPr>
                <w:rFonts w:ascii="Times New Roman" w:eastAsia="Times New Roman" w:hAnsi="Times New Roman" w:cs="Times New Roman"/>
                <w:sz w:val="24"/>
                <w:szCs w:val="24"/>
                <w:lang w:val="ro-RO" w:eastAsia="ru-RU"/>
              </w:rPr>
              <w:t xml:space="preserve">3 comprimate administrate oral o dată pe zi, </w:t>
            </w:r>
            <w:r w:rsidRPr="00FF5E27">
              <w:rPr>
                <w:rFonts w:ascii="Times New Roman" w:eastAsia="Times New Roman" w:hAnsi="Times New Roman" w:cs="Times New Roman"/>
                <w:sz w:val="24"/>
                <w:szCs w:val="24"/>
                <w:u w:val="single"/>
                <w:lang w:val="ro-RO" w:eastAsia="ru-RU"/>
              </w:rPr>
              <w:t>cu alimente</w:t>
            </w:r>
          </w:p>
          <w:p w:rsidR="00FF5E27" w:rsidRPr="00FF5E27" w:rsidRDefault="00FF5E27" w:rsidP="00461D8F">
            <w:pPr>
              <w:numPr>
                <w:ilvl w:val="0"/>
                <w:numId w:val="56"/>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Trei până la cinci plicuri o dată pe zi, in funcţie de greutatea corporala</w:t>
            </w:r>
          </w:p>
        </w:tc>
      </w:tr>
      <w:tr w:rsidR="00FF5E27" w:rsidRPr="00D645AA" w:rsidTr="00C61FA4">
        <w:tc>
          <w:tcPr>
            <w:tcW w:w="223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Grazoprevirum + elbasvirum*</w:t>
            </w:r>
          </w:p>
        </w:tc>
        <w:tc>
          <w:tcPr>
            <w:tcW w:w="4536" w:type="dxa"/>
            <w:shd w:val="clear" w:color="auto" w:fill="auto"/>
          </w:tcPr>
          <w:p w:rsidR="00FF5E27" w:rsidRPr="00FF5E27" w:rsidRDefault="00FF5E27" w:rsidP="00461D8F">
            <w:pPr>
              <w:numPr>
                <w:ilvl w:val="0"/>
                <w:numId w:val="63"/>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Tablete care conțin 100 mg grazoprevirum și 50 mg elbasvirum*</w:t>
            </w:r>
          </w:p>
        </w:tc>
        <w:tc>
          <w:tcPr>
            <w:tcW w:w="2835" w:type="dxa"/>
            <w:shd w:val="clear" w:color="auto" w:fill="auto"/>
          </w:tcPr>
          <w:p w:rsidR="00FF5E27" w:rsidRPr="00FF5E27" w:rsidRDefault="00FF5E27" w:rsidP="00461D8F">
            <w:pPr>
              <w:numPr>
                <w:ilvl w:val="0"/>
                <w:numId w:val="63"/>
              </w:numPr>
              <w:spacing w:before="100" w:after="0" w:line="240" w:lineRule="auto"/>
              <w:ind w:left="414"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1 comprimat administrat oral o dată pe zi, cu sau fără alimente.</w:t>
            </w:r>
          </w:p>
        </w:tc>
      </w:tr>
    </w:tbl>
    <w:p w:rsidR="00FF5E27" w:rsidRPr="00FF5E27" w:rsidRDefault="00FF5E27" w:rsidP="00FF5E27">
      <w:pPr>
        <w:spacing w:after="0" w:line="240" w:lineRule="auto"/>
        <w:jc w:val="both"/>
        <w:rPr>
          <w:rFonts w:ascii="Times New Roman" w:eastAsia="Times New Roman" w:hAnsi="Times New Roman" w:cs="Times New Roman"/>
          <w:bCs/>
          <w:iCs/>
          <w:sz w:val="24"/>
          <w:szCs w:val="24"/>
          <w:lang w:val="ro-RO" w:eastAsia="ru-RU"/>
        </w:rPr>
      </w:pPr>
      <w:r w:rsidRPr="00FF5E27">
        <w:rPr>
          <w:rFonts w:ascii="Times New Roman" w:eastAsia="Times New Roman" w:hAnsi="Times New Roman" w:cs="Times New Roman"/>
          <w:b/>
          <w:bCs/>
          <w:color w:val="353535"/>
          <w:sz w:val="24"/>
          <w:szCs w:val="24"/>
          <w:shd w:val="clear" w:color="auto" w:fill="FFFFFF"/>
          <w:lang w:val="ro-RO" w:eastAsia="ru-RU"/>
        </w:rPr>
        <w:t xml:space="preserve">*Avertisment: </w:t>
      </w:r>
      <w:r w:rsidRPr="00FF5E27">
        <w:rPr>
          <w:rFonts w:ascii="Times New Roman" w:eastAsia="Times New Roman" w:hAnsi="Times New Roman" w:cs="Times New Roman"/>
          <w:b/>
          <w:sz w:val="24"/>
          <w:szCs w:val="24"/>
          <w:u w:val="single"/>
          <w:shd w:val="clear" w:color="auto" w:fill="FFFFFF"/>
          <w:lang w:val="ro-RO" w:eastAsia="ru-RU"/>
        </w:rPr>
        <w:t>Reactivarea virusului hepatitei B</w:t>
      </w:r>
      <w:r w:rsidRPr="00FF5E27">
        <w:rPr>
          <w:rFonts w:ascii="Times New Roman" w:eastAsia="Times New Roman" w:hAnsi="Times New Roman" w:cs="Times New Roman"/>
          <w:b/>
          <w:sz w:val="24"/>
          <w:szCs w:val="24"/>
          <w:shd w:val="clear" w:color="auto" w:fill="FFFFFF"/>
          <w:lang w:val="ro-RO" w:eastAsia="ru-RU"/>
        </w:rPr>
        <w:t>:</w:t>
      </w:r>
      <w:r w:rsidRPr="00FF5E27">
        <w:rPr>
          <w:rFonts w:ascii="Times New Roman" w:eastAsia="Times New Roman" w:hAnsi="Times New Roman" w:cs="Times New Roman"/>
          <w:color w:val="232323"/>
          <w:sz w:val="24"/>
          <w:szCs w:val="24"/>
          <w:shd w:val="clear" w:color="auto" w:fill="FFFFFF"/>
          <w:lang w:val="ro-RO" w:eastAsia="ru-RU"/>
        </w:rPr>
        <w:t xml:space="preserve"> Testați toți pacienții pentru dovezi de infecție actuală sau anterioară cu virusul hepatitei B (VHB) pre-tratament cu sofosbuvirum*. Reactivarea VHB a fost raportată la pacienții infectați concomitent cu virusul hepatitei C (VHC) care urmau sau au finisat tratamentul cu antivirale cu acțiune directă împotriva VHC și nu administrau tratament antiviral împotriva VHB. Unele cazuri au dus la hepatită fulminantă, insuficiență hepatică și deces. Monitorizați pacienții infectați concomitent cu VHC/VHB pentru riscul apariției hepatitei sau a reactivării VHB în timpul tratamentului cu VHC și urmăriți post-tratament. Inițiați gestionarea adecvată a pacientului pentru infecția cu VHB, așa cum este indicat clinic.</w:t>
      </w:r>
    </w:p>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b/>
          <w:i/>
          <w:sz w:val="24"/>
          <w:szCs w:val="24"/>
          <w:lang w:val="ro-RO" w:eastAsia="ru-RU"/>
        </w:rPr>
        <w:t>Notă:</w:t>
      </w:r>
    </w:p>
    <w:p w:rsidR="00FF5E27" w:rsidRPr="00FF5E27" w:rsidRDefault="00FF5E27" w:rsidP="00461D8F">
      <w:pPr>
        <w:numPr>
          <w:ilvl w:val="0"/>
          <w:numId w:val="64"/>
        </w:numPr>
        <w:spacing w:before="100" w:after="0" w:line="240" w:lineRule="auto"/>
        <w:ind w:right="18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*Nu este necesară ajustarea dozei de sofosbuvirum pentru pacienții cu insuficiență renală ușoară până la moderată. </w:t>
      </w:r>
      <w:r w:rsidRPr="00FF5E27">
        <w:rPr>
          <w:rFonts w:ascii="Times New Roman" w:eastAsia="Times New Roman" w:hAnsi="Times New Roman" w:cs="Times New Roman"/>
          <w:color w:val="232323"/>
          <w:sz w:val="24"/>
          <w:szCs w:val="24"/>
          <w:shd w:val="clear" w:color="auto" w:fill="FFFFFF"/>
          <w:lang w:val="ro-RO" w:eastAsia="ru-RU"/>
        </w:rPr>
        <w:t>Deși clearance-ul renal este forma majoră de eliminare a sofosbuvirum și expunerea este crescută la pacienții cu insuficiență renală severă, inclusiv cei aflați pe dializă, studiile sugerează utilizarea în siguranță fără ajustarea dozei la această populație.</w:t>
      </w:r>
      <w:r w:rsidRPr="00FF5E27">
        <w:rPr>
          <w:rFonts w:ascii="Times New Roman" w:eastAsia="Times New Roman" w:hAnsi="Times New Roman" w:cs="Times New Roman"/>
          <w:sz w:val="24"/>
          <w:szCs w:val="24"/>
          <w:lang w:val="ro-RO" w:eastAsia="ru-RU"/>
        </w:rPr>
        <w:t xml:space="preserve"> </w:t>
      </w:r>
    </w:p>
    <w:p w:rsidR="00FF5E27" w:rsidRPr="00FF5E27" w:rsidRDefault="00FF5E27" w:rsidP="00461D8F">
      <w:pPr>
        <w:numPr>
          <w:ilvl w:val="0"/>
          <w:numId w:val="64"/>
        </w:numPr>
        <w:spacing w:before="100" w:after="0" w:line="240" w:lineRule="auto"/>
        <w:ind w:right="188"/>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lastRenderedPageBreak/>
        <w:t>*Regimurile care conțin sofosbuvirum s-au dovedit a fi sigure la pacienții cu insuficiență renală moderată până la severă, inclusiv cei cu rata de filtrare glomerulară estimată (eGFR) &lt;30 ml/min/1,73 /m</w:t>
      </w:r>
      <w:r w:rsidRPr="00FF5E27">
        <w:rPr>
          <w:rFonts w:ascii="Times New Roman" w:eastAsia="Times New Roman" w:hAnsi="Times New Roman" w:cs="Times New Roman"/>
          <w:sz w:val="24"/>
          <w:szCs w:val="24"/>
          <w:vertAlign w:val="superscript"/>
          <w:lang w:val="ro-RO" w:eastAsia="ru-RU"/>
        </w:rPr>
        <w:t>2</w:t>
      </w:r>
      <w:r w:rsidRPr="00FF5E27">
        <w:rPr>
          <w:rFonts w:ascii="Times New Roman" w:eastAsia="Times New Roman" w:hAnsi="Times New Roman" w:cs="Times New Roman"/>
          <w:sz w:val="24"/>
          <w:szCs w:val="24"/>
          <w:lang w:val="ro-RO" w:eastAsia="ru-RU"/>
        </w:rPr>
        <w:t xml:space="preserve"> și cei cu boală renală în stadiu terminal care necesită hemodializă, cu sau fără decompensare hepatica [</w:t>
      </w:r>
      <w:hyperlink r:id="rId41" w:history="1">
        <w:r w:rsidRPr="00FF5E27">
          <w:rPr>
            <w:rFonts w:ascii="Times New Roman" w:eastAsia="Times New Roman" w:hAnsi="Times New Roman" w:cs="Times New Roman"/>
            <w:color w:val="0000FF"/>
            <w:sz w:val="24"/>
            <w:szCs w:val="24"/>
            <w:u w:val="single"/>
            <w:shd w:val="clear" w:color="auto" w:fill="FFFFFF"/>
            <w:lang w:val="ro-RO" w:eastAsia="ru-RU"/>
          </w:rPr>
          <w:t>https://doi.org/10.1111/liv.14299</w:t>
        </w:r>
      </w:hyperlink>
      <w:r w:rsidRPr="00FF5E27">
        <w:rPr>
          <w:rFonts w:ascii="Times New Roman" w:eastAsia="Times New Roman" w:hAnsi="Times New Roman" w:cs="Times New Roman"/>
          <w:sz w:val="24"/>
          <w:szCs w:val="24"/>
          <w:lang w:val="ro-RO" w:eastAsia="ru-RU"/>
        </w:rPr>
        <w:t>].</w:t>
      </w:r>
    </w:p>
    <w:p w:rsidR="00FF5E27" w:rsidRPr="00FF5E27" w:rsidRDefault="00FF5E27" w:rsidP="00461D8F">
      <w:pPr>
        <w:numPr>
          <w:ilvl w:val="0"/>
          <w:numId w:val="64"/>
        </w:numPr>
        <w:spacing w:before="100" w:after="0" w:line="240" w:lineRule="auto"/>
        <w:ind w:right="188"/>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*Când este utilizat la pacienții cu ciroză, nu este necesară ajustarea dozei la pacienții cu insuficiență hepatică moderată (Child Pugh clasa B) sau severă (Child Pugh clasa C).</w:t>
      </w:r>
    </w:p>
    <w:p w:rsidR="00FF5E27" w:rsidRPr="00FF5E27" w:rsidRDefault="00FF5E27" w:rsidP="00461D8F">
      <w:pPr>
        <w:numPr>
          <w:ilvl w:val="0"/>
          <w:numId w:val="64"/>
        </w:numPr>
        <w:spacing w:before="100" w:after="0" w:line="240" w:lineRule="auto"/>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*Sofosbuvirum este bine tolerat timp de 12 până la 24 de săptămâni de administrare.</w:t>
      </w:r>
    </w:p>
    <w:p w:rsidR="00FF5E27" w:rsidRPr="00FF5E27" w:rsidRDefault="00FF5E27" w:rsidP="00461D8F">
      <w:pPr>
        <w:numPr>
          <w:ilvl w:val="0"/>
          <w:numId w:val="118"/>
        </w:numPr>
        <w:spacing w:before="100" w:after="0" w:line="240" w:lineRule="auto"/>
        <w:jc w:val="both"/>
        <w:rPr>
          <w:rFonts w:ascii="Times New Roman" w:eastAsia="Times New Roman" w:hAnsi="Times New Roman" w:cs="Times New Roman"/>
          <w:bCs/>
          <w:iCs/>
          <w:sz w:val="24"/>
          <w:szCs w:val="24"/>
          <w:lang w:val="ro-RO" w:eastAsia="ru-RU"/>
        </w:rPr>
      </w:pPr>
      <w:r w:rsidRPr="00FF5E27">
        <w:rPr>
          <w:rFonts w:ascii="Times New Roman" w:eastAsia="Times New Roman" w:hAnsi="Times New Roman" w:cs="Times New Roman"/>
          <w:bCs/>
          <w:iCs/>
          <w:sz w:val="24"/>
          <w:szCs w:val="24"/>
          <w:lang w:val="ro-RO" w:eastAsia="ru-RU"/>
        </w:rPr>
        <w:t>&amp; - Formulare pediatrică.</w:t>
      </w:r>
    </w:p>
    <w:p w:rsidR="00FF5E27" w:rsidRPr="00FF5E27" w:rsidRDefault="00FF5E27" w:rsidP="00461D8F">
      <w:pPr>
        <w:numPr>
          <w:ilvl w:val="0"/>
          <w:numId w:val="118"/>
        </w:numPr>
        <w:spacing w:before="100" w:after="0" w:line="240" w:lineRule="auto"/>
        <w:jc w:val="both"/>
        <w:rPr>
          <w:rFonts w:ascii="Times New Roman" w:eastAsia="Times New Roman" w:hAnsi="Times New Roman" w:cs="Times New Roman"/>
          <w:bCs/>
          <w:iCs/>
          <w:sz w:val="24"/>
          <w:szCs w:val="24"/>
          <w:lang w:val="ro-RO" w:eastAsia="ru-RU"/>
        </w:rPr>
      </w:pPr>
      <w:r w:rsidRPr="00FF5E27">
        <w:rPr>
          <w:rFonts w:ascii="Times New Roman" w:eastAsia="Times New Roman" w:hAnsi="Times New Roman" w:cs="Times New Roman"/>
          <w:bCs/>
          <w:iCs/>
          <w:sz w:val="24"/>
          <w:szCs w:val="24"/>
          <w:lang w:val="ro-RO" w:eastAsia="ru-RU"/>
        </w:rPr>
        <w:t># - În curs de aprobare.</w:t>
      </w:r>
    </w:p>
    <w:p w:rsidR="00FF5E27" w:rsidRPr="00FF5E27" w:rsidRDefault="00FF5E27" w:rsidP="00FF5E27">
      <w:pPr>
        <w:spacing w:after="0" w:line="240" w:lineRule="auto"/>
        <w:jc w:val="both"/>
        <w:rPr>
          <w:rFonts w:ascii="Times New Roman" w:eastAsia="Times New Roman" w:hAnsi="Times New Roman" w:cs="Times New Roman"/>
          <w:bCs/>
          <w:iCs/>
          <w:sz w:val="24"/>
          <w:szCs w:val="24"/>
          <w:lang w:val="ro-RO" w:eastAsia="ru-RU"/>
        </w:rPr>
      </w:pPr>
    </w:p>
    <w:p w:rsidR="00FF5E27" w:rsidRPr="00FF5E27" w:rsidRDefault="00FF5E27" w:rsidP="00FF5E27">
      <w:pPr>
        <w:spacing w:after="0" w:line="240" w:lineRule="auto"/>
        <w:jc w:val="both"/>
        <w:rPr>
          <w:rFonts w:ascii="Times New Roman" w:eastAsia="Times New Roman" w:hAnsi="Times New Roman" w:cs="Times New Roman"/>
          <w:b/>
          <w:iCs/>
          <w:sz w:val="24"/>
          <w:szCs w:val="24"/>
          <w:lang w:val="ro-RO" w:eastAsia="ru-RU"/>
        </w:rPr>
      </w:pPr>
      <w:r w:rsidRPr="00FF5E27">
        <w:rPr>
          <w:rFonts w:ascii="Times New Roman" w:eastAsia="Times New Roman" w:hAnsi="Times New Roman" w:cs="Times New Roman"/>
          <w:b/>
          <w:iCs/>
          <w:sz w:val="24"/>
          <w:szCs w:val="24"/>
          <w:lang w:val="ro-RO" w:eastAsia="ru-RU"/>
        </w:rPr>
        <w:t>Tabelul 1</w:t>
      </w:r>
      <w:r w:rsidR="00955272">
        <w:rPr>
          <w:rFonts w:ascii="Times New Roman" w:eastAsia="Times New Roman" w:hAnsi="Times New Roman" w:cs="Times New Roman"/>
          <w:b/>
          <w:iCs/>
          <w:sz w:val="24"/>
          <w:szCs w:val="24"/>
          <w:lang w:val="ro-RO" w:eastAsia="ru-RU"/>
        </w:rPr>
        <w:t>1</w:t>
      </w:r>
      <w:r w:rsidRPr="00FF5E27">
        <w:rPr>
          <w:rFonts w:ascii="Times New Roman" w:eastAsia="Times New Roman" w:hAnsi="Times New Roman" w:cs="Times New Roman"/>
          <w:b/>
          <w:iCs/>
          <w:sz w:val="24"/>
          <w:szCs w:val="24"/>
          <w:lang w:val="ro-RO" w:eastAsia="ru-RU"/>
        </w:rPr>
        <w:t>. Medicamente antivirale cu acțiune directă (DAA) în funcție de clasă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315"/>
        <w:gridCol w:w="4239"/>
      </w:tblGrid>
      <w:tr w:rsidR="00FF5E27" w:rsidRPr="00D645AA" w:rsidTr="00FF5E27">
        <w:tc>
          <w:tcPr>
            <w:tcW w:w="1472"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bCs/>
                <w:i/>
                <w:sz w:val="24"/>
                <w:szCs w:val="24"/>
                <w:lang w:val="ro-RO" w:eastAsia="ru-RU"/>
              </w:rPr>
            </w:pPr>
            <w:r w:rsidRPr="00FF5E27">
              <w:rPr>
                <w:rFonts w:ascii="Times New Roman" w:eastAsia="Times New Roman" w:hAnsi="Times New Roman" w:cs="Times New Roman"/>
                <w:b/>
                <w:bCs/>
                <w:sz w:val="24"/>
                <w:szCs w:val="24"/>
                <w:lang w:val="ro-RO" w:eastAsia="ru-RU"/>
              </w:rPr>
              <w:t>I</w:t>
            </w:r>
            <w:r w:rsidRPr="00FF5E27">
              <w:rPr>
                <w:rFonts w:ascii="Times New Roman" w:eastAsia="Times New Roman" w:hAnsi="Times New Roman" w:cs="Times New Roman"/>
                <w:b/>
                <w:bCs/>
                <w:color w:val="000000"/>
                <w:sz w:val="24"/>
                <w:szCs w:val="24"/>
                <w:lang w:val="ro-RO" w:eastAsia="ru-RU"/>
              </w:rPr>
              <w:t xml:space="preserve">nhibitori de protează </w:t>
            </w:r>
            <w:r w:rsidRPr="00FF5E27">
              <w:rPr>
                <w:rFonts w:ascii="Times New Roman" w:eastAsia="Times New Roman" w:hAnsi="Times New Roman" w:cs="Times New Roman"/>
                <w:b/>
                <w:bCs/>
                <w:sz w:val="24"/>
                <w:szCs w:val="24"/>
                <w:lang w:val="ro-RO" w:eastAsia="ru-RU"/>
              </w:rPr>
              <w:t xml:space="preserve">NS3/4A </w:t>
            </w:r>
          </w:p>
        </w:tc>
        <w:tc>
          <w:tcPr>
            <w:tcW w:w="1246"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bCs/>
                <w:i/>
                <w:sz w:val="24"/>
                <w:szCs w:val="24"/>
                <w:lang w:val="ro-RO" w:eastAsia="ru-RU"/>
              </w:rPr>
            </w:pPr>
            <w:r w:rsidRPr="00FF5E27">
              <w:rPr>
                <w:rFonts w:ascii="Times New Roman" w:eastAsia="Times New Roman" w:hAnsi="Times New Roman" w:cs="Times New Roman"/>
                <w:b/>
                <w:bCs/>
                <w:sz w:val="24"/>
                <w:szCs w:val="24"/>
                <w:lang w:val="ro-RO" w:eastAsia="ru-RU"/>
              </w:rPr>
              <w:t>Inhibitori NS5A</w:t>
            </w:r>
            <w:r w:rsidRPr="00FF5E27">
              <w:rPr>
                <w:rFonts w:ascii="Times New Roman" w:eastAsia="Times New Roman" w:hAnsi="Times New Roman" w:cs="Times New Roman"/>
                <w:b/>
                <w:bCs/>
                <w:sz w:val="24"/>
                <w:szCs w:val="24"/>
                <w:lang w:val="ro-RO" w:eastAsia="ru-RU"/>
              </w:rPr>
              <w:br/>
            </w:r>
          </w:p>
        </w:tc>
        <w:tc>
          <w:tcPr>
            <w:tcW w:w="2282"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bCs/>
                <w:i/>
                <w:sz w:val="24"/>
                <w:szCs w:val="24"/>
                <w:lang w:val="ro-RO" w:eastAsia="ru-RU"/>
              </w:rPr>
            </w:pPr>
            <w:r w:rsidRPr="00FF5E27">
              <w:rPr>
                <w:rFonts w:ascii="Times New Roman" w:eastAsia="Times New Roman" w:hAnsi="Times New Roman" w:cs="Times New Roman"/>
                <w:b/>
                <w:bCs/>
                <w:sz w:val="24"/>
                <w:szCs w:val="24"/>
                <w:lang w:val="ro-RO" w:eastAsia="ru-RU"/>
              </w:rPr>
              <w:t>NS5B inhibitori de ARN-polimerază dependenți de ARN</w:t>
            </w:r>
          </w:p>
        </w:tc>
      </w:tr>
      <w:tr w:rsidR="00FF5E27" w:rsidRPr="00FF5E27" w:rsidTr="00FF5E27">
        <w:tc>
          <w:tcPr>
            <w:tcW w:w="1472"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Glecaprevirum*</w:t>
            </w:r>
          </w:p>
        </w:tc>
        <w:tc>
          <w:tcPr>
            <w:tcW w:w="1246"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Daclatasvirum*</w:t>
            </w:r>
          </w:p>
        </w:tc>
        <w:tc>
          <w:tcPr>
            <w:tcW w:w="2282" w:type="pct"/>
            <w:vMerge w:val="restar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Inhibitori ai polimerazei nucleotide (NPI):</w:t>
            </w:r>
          </w:p>
          <w:p w:rsidR="00FF5E27" w:rsidRPr="00FF5E27" w:rsidRDefault="00FF5E27" w:rsidP="00461D8F">
            <w:pPr>
              <w:numPr>
                <w:ilvl w:val="0"/>
                <w:numId w:val="80"/>
              </w:numPr>
              <w:spacing w:before="100"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Sofosbuviru</w:t>
            </w:r>
            <w:r w:rsidRPr="00FF5E27">
              <w:rPr>
                <w:rFonts w:ascii="Helvetica" w:eastAsia="Times New Roman" w:hAnsi="Helvetica" w:cs="Times New Roman"/>
                <w:color w:val="000000"/>
                <w:sz w:val="20"/>
                <w:szCs w:val="20"/>
                <w:lang w:val="ro-RO" w:eastAsia="ru-RU"/>
              </w:rPr>
              <w:t>m*</w:t>
            </w:r>
          </w:p>
        </w:tc>
      </w:tr>
      <w:tr w:rsidR="00FF5E27" w:rsidRPr="00FF5E27" w:rsidTr="00FF5E27">
        <w:tc>
          <w:tcPr>
            <w:tcW w:w="1472"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Grazoprevirum*</w:t>
            </w:r>
          </w:p>
        </w:tc>
        <w:tc>
          <w:tcPr>
            <w:tcW w:w="1246"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Elbasvirum*</w:t>
            </w:r>
          </w:p>
        </w:tc>
        <w:tc>
          <w:tcPr>
            <w:tcW w:w="2282" w:type="pct"/>
            <w:vMerge/>
            <w:shd w:val="clear" w:color="auto" w:fill="auto"/>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p>
        </w:tc>
      </w:tr>
      <w:tr w:rsidR="00FF5E27" w:rsidRPr="00FF5E27" w:rsidTr="00FF5E27">
        <w:tc>
          <w:tcPr>
            <w:tcW w:w="1472"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Paritaprevirum*</w:t>
            </w:r>
          </w:p>
        </w:tc>
        <w:tc>
          <w:tcPr>
            <w:tcW w:w="1246"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Ledipasvirum*</w:t>
            </w:r>
          </w:p>
        </w:tc>
        <w:tc>
          <w:tcPr>
            <w:tcW w:w="2282" w:type="pct"/>
            <w:vMerge/>
            <w:shd w:val="clear" w:color="auto" w:fill="auto"/>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p>
        </w:tc>
      </w:tr>
      <w:tr w:rsidR="00FF5E27" w:rsidRPr="00FF5E27" w:rsidTr="00FF5E27">
        <w:tc>
          <w:tcPr>
            <w:tcW w:w="1472"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 xml:space="preserve">Simeprevirum* </w:t>
            </w:r>
          </w:p>
        </w:tc>
        <w:tc>
          <w:tcPr>
            <w:tcW w:w="1246"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Ombitasvirum*</w:t>
            </w:r>
          </w:p>
        </w:tc>
        <w:tc>
          <w:tcPr>
            <w:tcW w:w="2282" w:type="pct"/>
            <w:vMerge w:val="restart"/>
            <w:shd w:val="clear" w:color="auto" w:fill="auto"/>
          </w:tcPr>
          <w:p w:rsidR="00FF5E27" w:rsidRPr="00FF5E27" w:rsidRDefault="00FF5E27" w:rsidP="00FF5E27">
            <w:pPr>
              <w:spacing w:after="0" w:line="240" w:lineRule="auto"/>
              <w:jc w:val="both"/>
              <w:rPr>
                <w:rFonts w:ascii="Times New Roman" w:eastAsia="Times New Roman" w:hAnsi="Times New Roman" w:cs="Times New Roman"/>
                <w:iCs/>
                <w:sz w:val="24"/>
                <w:szCs w:val="24"/>
                <w:lang w:val="ro-RO" w:eastAsia="ru-RU"/>
              </w:rPr>
            </w:pPr>
            <w:r w:rsidRPr="00FF5E27">
              <w:rPr>
                <w:rFonts w:ascii="Times New Roman" w:eastAsia="Times New Roman" w:hAnsi="Times New Roman" w:cs="Times New Roman"/>
                <w:bCs/>
                <w:iCs/>
                <w:sz w:val="24"/>
                <w:szCs w:val="24"/>
                <w:lang w:val="ro-RO" w:eastAsia="ru-RU"/>
              </w:rPr>
              <w:t>I</w:t>
            </w:r>
            <w:r w:rsidRPr="00FF5E27">
              <w:rPr>
                <w:rFonts w:ascii="Times New Roman" w:eastAsia="Times New Roman" w:hAnsi="Times New Roman" w:cs="Times New Roman"/>
                <w:iCs/>
                <w:sz w:val="24"/>
                <w:szCs w:val="24"/>
                <w:lang w:val="ro-RO" w:eastAsia="ru-RU"/>
              </w:rPr>
              <w:t>nhibitori non-nucleozidici de polimerază (NNPI):</w:t>
            </w:r>
          </w:p>
          <w:p w:rsidR="00FF5E27" w:rsidRPr="00FF5E27" w:rsidRDefault="00FF5E27" w:rsidP="00461D8F">
            <w:pPr>
              <w:numPr>
                <w:ilvl w:val="0"/>
                <w:numId w:val="80"/>
              </w:numPr>
              <w:spacing w:before="100" w:after="0" w:line="240" w:lineRule="auto"/>
              <w:jc w:val="both"/>
              <w:rPr>
                <w:rFonts w:ascii="Times New Roman" w:eastAsia="Times New Roman" w:hAnsi="Times New Roman" w:cs="Times New Roman"/>
                <w:bCs/>
                <w:iCs/>
                <w:sz w:val="24"/>
                <w:szCs w:val="24"/>
                <w:lang w:val="ro-RO" w:eastAsia="ru-RU"/>
              </w:rPr>
            </w:pPr>
            <w:r w:rsidRPr="00FF5E27">
              <w:rPr>
                <w:rFonts w:ascii="Times New Roman" w:eastAsia="Times New Roman" w:hAnsi="Times New Roman" w:cs="Times New Roman"/>
                <w:iCs/>
                <w:sz w:val="24"/>
                <w:szCs w:val="24"/>
                <w:lang w:val="ro-RO" w:eastAsia="ru-RU"/>
              </w:rPr>
              <w:t>Dasabuvirum*</w:t>
            </w:r>
          </w:p>
        </w:tc>
      </w:tr>
      <w:tr w:rsidR="00FF5E27" w:rsidRPr="00FF5E27" w:rsidTr="00FF5E27">
        <w:tc>
          <w:tcPr>
            <w:tcW w:w="1472"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Voxilaprevirum*</w:t>
            </w:r>
          </w:p>
        </w:tc>
        <w:tc>
          <w:tcPr>
            <w:tcW w:w="1246"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Pibrentasvirum</w:t>
            </w:r>
          </w:p>
        </w:tc>
        <w:tc>
          <w:tcPr>
            <w:tcW w:w="2282" w:type="pct"/>
            <w:vMerge/>
            <w:shd w:val="clear" w:color="auto" w:fill="auto"/>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p>
        </w:tc>
      </w:tr>
      <w:tr w:rsidR="00FF5E27" w:rsidRPr="00FF5E27" w:rsidTr="00FF5E27">
        <w:tc>
          <w:tcPr>
            <w:tcW w:w="1472"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p>
        </w:tc>
        <w:tc>
          <w:tcPr>
            <w:tcW w:w="1246" w:type="pct"/>
            <w:shd w:val="clear" w:color="auto" w:fill="auto"/>
            <w:vAlign w:val="center"/>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r w:rsidRPr="00FF5E27">
              <w:rPr>
                <w:rFonts w:ascii="Times New Roman" w:eastAsia="Times New Roman" w:hAnsi="Times New Roman" w:cs="Times New Roman"/>
                <w:sz w:val="24"/>
                <w:szCs w:val="24"/>
                <w:lang w:val="ro-RO" w:eastAsia="ru-RU"/>
              </w:rPr>
              <w:t xml:space="preserve">Velpatasvirum* </w:t>
            </w:r>
          </w:p>
        </w:tc>
        <w:tc>
          <w:tcPr>
            <w:tcW w:w="2282" w:type="pct"/>
            <w:vMerge/>
            <w:shd w:val="clear" w:color="auto" w:fill="auto"/>
          </w:tcPr>
          <w:p w:rsidR="00FF5E27" w:rsidRPr="00FF5E27" w:rsidRDefault="00FF5E27" w:rsidP="00FF5E27">
            <w:pPr>
              <w:spacing w:after="0" w:line="240" w:lineRule="auto"/>
              <w:jc w:val="both"/>
              <w:rPr>
                <w:rFonts w:ascii="Times New Roman" w:eastAsia="Times New Roman" w:hAnsi="Times New Roman" w:cs="Times New Roman"/>
                <w:b/>
                <w:i/>
                <w:sz w:val="24"/>
                <w:szCs w:val="24"/>
                <w:lang w:val="ro-RO" w:eastAsia="ru-RU"/>
              </w:rPr>
            </w:pPr>
          </w:p>
        </w:tc>
      </w:tr>
    </w:tbl>
    <w:p w:rsidR="00FF5E27" w:rsidRPr="00FF5E27" w:rsidRDefault="00FF5E27" w:rsidP="00FF5E27">
      <w:pPr>
        <w:spacing w:after="0" w:line="240" w:lineRule="auto"/>
        <w:jc w:val="both"/>
        <w:rPr>
          <w:rFonts w:ascii="Times New Roman" w:eastAsia="Times New Roman" w:hAnsi="Times New Roman" w:cs="Times New Roman"/>
          <w:bCs/>
          <w:iCs/>
          <w:sz w:val="24"/>
          <w:szCs w:val="24"/>
          <w:lang w:val="ro-RO" w:eastAsia="ru-RU"/>
        </w:rPr>
      </w:pPr>
      <w:r w:rsidRPr="00FF5E27">
        <w:rPr>
          <w:rFonts w:ascii="Times New Roman" w:eastAsia="Times New Roman" w:hAnsi="Times New Roman" w:cs="Times New Roman"/>
          <w:b/>
          <w:bCs/>
          <w:iCs/>
          <w:sz w:val="24"/>
          <w:szCs w:val="24"/>
          <w:lang w:val="ro-RO" w:eastAsia="ru-RU"/>
        </w:rPr>
        <w:t>Notă</w:t>
      </w:r>
      <w:r w:rsidRPr="00FF5E27">
        <w:rPr>
          <w:rFonts w:ascii="Times New Roman" w:eastAsia="Times New Roman" w:hAnsi="Times New Roman" w:cs="Times New Roman"/>
          <w:bCs/>
          <w:iCs/>
          <w:sz w:val="24"/>
          <w:szCs w:val="24"/>
          <w:lang w:val="ro-RO" w:eastAsia="ru-RU"/>
        </w:rPr>
        <w:t xml:space="preserve"> - </w:t>
      </w:r>
      <w:r w:rsidRPr="00FF5E27">
        <w:rPr>
          <w:rFonts w:ascii="Times New Roman" w:eastAsia="Times New Roman" w:hAnsi="Times New Roman" w:cs="Times New Roman"/>
          <w:sz w:val="24"/>
          <w:szCs w:val="24"/>
          <w:lang w:val="ro-RO" w:eastAsia="ru-RU"/>
        </w:rPr>
        <w:t>*Medicamente neînregistrate Nomenclatorul de Stat al Medicamentelor în Republica Moldova</w:t>
      </w:r>
    </w:p>
    <w:p w:rsidR="00FF5E27" w:rsidRPr="00FF5E27" w:rsidRDefault="00FF5E27" w:rsidP="00FF5E27">
      <w:pPr>
        <w:spacing w:after="0" w:line="240" w:lineRule="auto"/>
        <w:jc w:val="both"/>
        <w:rPr>
          <w:rFonts w:ascii="Times New Roman" w:eastAsia="Times New Roman" w:hAnsi="Times New Roman" w:cs="Times New Roman"/>
          <w:b/>
          <w:bCs/>
          <w:color w:val="232323"/>
          <w:sz w:val="24"/>
          <w:szCs w:val="24"/>
          <w:lang w:val="ro-RO"/>
        </w:rPr>
      </w:pPr>
    </w:p>
    <w:p w:rsidR="00FF5E27" w:rsidRPr="00FF5E27" w:rsidRDefault="00FF5E27" w:rsidP="00FF5E27">
      <w:pPr>
        <w:spacing w:after="0" w:line="240" w:lineRule="auto"/>
        <w:jc w:val="both"/>
        <w:rPr>
          <w:rFonts w:ascii="Times New Roman" w:eastAsia="Times New Roman" w:hAnsi="Times New Roman" w:cs="Times New Roman"/>
          <w:b/>
          <w:bCs/>
          <w:color w:val="232323"/>
          <w:sz w:val="24"/>
          <w:szCs w:val="24"/>
          <w:lang w:val="ro-RO"/>
        </w:rPr>
      </w:pPr>
      <w:r w:rsidRPr="00FF5E27">
        <w:rPr>
          <w:rFonts w:ascii="Times New Roman" w:eastAsia="Times New Roman" w:hAnsi="Times New Roman" w:cs="Times New Roman"/>
          <w:b/>
          <w:bCs/>
          <w:color w:val="232323"/>
          <w:sz w:val="24"/>
          <w:szCs w:val="24"/>
          <w:lang w:val="ro-RO"/>
        </w:rPr>
        <w:t>Tabelul 1</w:t>
      </w:r>
      <w:r w:rsidR="00955272">
        <w:rPr>
          <w:rFonts w:ascii="Times New Roman" w:eastAsia="Times New Roman" w:hAnsi="Times New Roman" w:cs="Times New Roman"/>
          <w:b/>
          <w:bCs/>
          <w:color w:val="232323"/>
          <w:sz w:val="24"/>
          <w:szCs w:val="24"/>
          <w:lang w:val="ro-RO"/>
        </w:rPr>
        <w:t>2</w:t>
      </w:r>
      <w:r w:rsidRPr="00FF5E27">
        <w:rPr>
          <w:rFonts w:ascii="Times New Roman" w:eastAsia="Times New Roman" w:hAnsi="Times New Roman" w:cs="Times New Roman"/>
          <w:b/>
          <w:bCs/>
          <w:color w:val="232323"/>
          <w:sz w:val="24"/>
          <w:szCs w:val="24"/>
          <w:lang w:val="ro-RO"/>
        </w:rPr>
        <w:t>. Caracteristicile agenților antivirali cu acțiune directă pentru infecția cu virusul hepatitei C</w:t>
      </w:r>
    </w:p>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2324"/>
        <w:gridCol w:w="2441"/>
        <w:gridCol w:w="1387"/>
        <w:gridCol w:w="1179"/>
      </w:tblGrid>
      <w:tr w:rsidR="00FF5E27" w:rsidRPr="00FF5E27" w:rsidTr="003D68D2">
        <w:tc>
          <w:tcPr>
            <w:tcW w:w="100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b/>
                <w:bCs/>
                <w:sz w:val="24"/>
                <w:szCs w:val="24"/>
                <w:lang w:val="ro-RO"/>
              </w:rPr>
            </w:pPr>
            <w:r w:rsidRPr="00FF5E27">
              <w:rPr>
                <w:rFonts w:ascii="Times New Roman" w:eastAsia="Calibri" w:hAnsi="Times New Roman" w:cs="Times New Roman"/>
                <w:b/>
                <w:bCs/>
                <w:sz w:val="24"/>
                <w:szCs w:val="24"/>
                <w:lang w:val="ro-RO"/>
              </w:rPr>
              <w:t xml:space="preserve"> </w:t>
            </w:r>
          </w:p>
        </w:tc>
        <w:tc>
          <w:tcPr>
            <w:tcW w:w="126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b/>
                <w:bCs/>
                <w:sz w:val="24"/>
                <w:szCs w:val="24"/>
                <w:lang w:val="ro-RO"/>
              </w:rPr>
            </w:pPr>
            <w:r w:rsidRPr="00FF5E27">
              <w:rPr>
                <w:rFonts w:ascii="Times New Roman" w:eastAsia="Calibri" w:hAnsi="Times New Roman" w:cs="Times New Roman"/>
                <w:b/>
                <w:bCs/>
                <w:sz w:val="24"/>
                <w:szCs w:val="24"/>
                <w:lang w:val="ro-RO"/>
              </w:rPr>
              <w:t>Inhibitori de protează</w:t>
            </w:r>
          </w:p>
        </w:tc>
        <w:tc>
          <w:tcPr>
            <w:tcW w:w="1329" w:type="pct"/>
            <w:shd w:val="clear" w:color="auto" w:fill="auto"/>
            <w:hideMark/>
          </w:tcPr>
          <w:p w:rsidR="00FF5E27" w:rsidRPr="00FF5E27" w:rsidRDefault="00FF5E27" w:rsidP="00FF5E27">
            <w:pPr>
              <w:spacing w:after="0" w:line="240" w:lineRule="auto"/>
              <w:rPr>
                <w:rFonts w:ascii="Times New Roman" w:eastAsia="Calibri" w:hAnsi="Times New Roman" w:cs="Times New Roman"/>
                <w:b/>
                <w:bCs/>
                <w:sz w:val="24"/>
                <w:szCs w:val="24"/>
                <w:lang w:val="ro-RO"/>
              </w:rPr>
            </w:pPr>
            <w:r w:rsidRPr="00FF5E27">
              <w:rPr>
                <w:rFonts w:ascii="Times New Roman" w:eastAsia="Calibri" w:hAnsi="Times New Roman" w:cs="Times New Roman"/>
                <w:b/>
                <w:bCs/>
                <w:sz w:val="24"/>
                <w:szCs w:val="24"/>
                <w:lang w:val="ro-RO"/>
              </w:rPr>
              <w:t>Inhibitori ai polimerazei nucleos(t)ide</w:t>
            </w:r>
          </w:p>
        </w:tc>
        <w:tc>
          <w:tcPr>
            <w:tcW w:w="75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b/>
                <w:bCs/>
                <w:sz w:val="24"/>
                <w:szCs w:val="24"/>
                <w:lang w:val="ro-RO"/>
              </w:rPr>
            </w:pPr>
            <w:r w:rsidRPr="00FF5E27">
              <w:rPr>
                <w:rFonts w:ascii="Times New Roman" w:eastAsia="Calibri" w:hAnsi="Times New Roman" w:cs="Times New Roman"/>
                <w:b/>
                <w:bCs/>
                <w:sz w:val="24"/>
                <w:szCs w:val="24"/>
                <w:lang w:val="ro-RO"/>
              </w:rPr>
              <w:t>Inhibitori non-nucleozidici de polimerază</w:t>
            </w:r>
          </w:p>
        </w:tc>
        <w:tc>
          <w:tcPr>
            <w:tcW w:w="64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b/>
                <w:bCs/>
                <w:sz w:val="24"/>
                <w:szCs w:val="24"/>
                <w:lang w:val="ro-RO"/>
              </w:rPr>
            </w:pPr>
            <w:r w:rsidRPr="00FF5E27">
              <w:rPr>
                <w:rFonts w:ascii="Times New Roman" w:eastAsia="Calibri" w:hAnsi="Times New Roman" w:cs="Times New Roman"/>
                <w:b/>
                <w:bCs/>
                <w:sz w:val="24"/>
                <w:szCs w:val="24"/>
                <w:lang w:val="ro-RO"/>
              </w:rPr>
              <w:t>Inhibitori NS5A</w:t>
            </w:r>
          </w:p>
        </w:tc>
      </w:tr>
      <w:tr w:rsidR="00FF5E27" w:rsidRPr="00D645AA" w:rsidTr="003D68D2">
        <w:tc>
          <w:tcPr>
            <w:tcW w:w="100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b/>
                <w:bCs/>
                <w:sz w:val="24"/>
                <w:szCs w:val="24"/>
                <w:lang w:val="ro-RO"/>
              </w:rPr>
              <w:t>Potenta</w:t>
            </w:r>
          </w:p>
        </w:tc>
        <w:tc>
          <w:tcPr>
            <w:tcW w:w="126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Ridicat (variază în funcție de genotipul VHC)</w:t>
            </w:r>
          </w:p>
        </w:tc>
        <w:tc>
          <w:tcPr>
            <w:tcW w:w="132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Moderat spre ridicat (consecvent între genotipurile și subtipurile VHC)</w:t>
            </w:r>
          </w:p>
        </w:tc>
        <w:tc>
          <w:tcPr>
            <w:tcW w:w="75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Variază în funcție de genotipul VHC</w:t>
            </w:r>
          </w:p>
        </w:tc>
        <w:tc>
          <w:tcPr>
            <w:tcW w:w="64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Ridicat (împotriva mai multor genotipuri-HCV)</w:t>
            </w:r>
          </w:p>
        </w:tc>
      </w:tr>
      <w:tr w:rsidR="00FF5E27" w:rsidRPr="00FF5E27" w:rsidTr="003D68D2">
        <w:tc>
          <w:tcPr>
            <w:tcW w:w="100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b/>
                <w:bCs/>
                <w:sz w:val="24"/>
                <w:szCs w:val="24"/>
                <w:lang w:val="ro-RO"/>
              </w:rPr>
              <w:t>Barieră în calea rezistenței</w:t>
            </w:r>
          </w:p>
        </w:tc>
        <w:tc>
          <w:tcPr>
            <w:tcW w:w="126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Scăzută (1a &lt;1b)</w:t>
            </w:r>
          </w:p>
        </w:tc>
        <w:tc>
          <w:tcPr>
            <w:tcW w:w="132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Ridicată (1a = 1b)</w:t>
            </w:r>
          </w:p>
        </w:tc>
        <w:tc>
          <w:tcPr>
            <w:tcW w:w="75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Foarte scăzută (1a &lt;1b)</w:t>
            </w:r>
          </w:p>
        </w:tc>
        <w:tc>
          <w:tcPr>
            <w:tcW w:w="64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Scăzută (1a &lt;1b)</w:t>
            </w:r>
          </w:p>
        </w:tc>
      </w:tr>
      <w:tr w:rsidR="00FF5E27" w:rsidRPr="00FF5E27" w:rsidTr="003D68D2">
        <w:tc>
          <w:tcPr>
            <w:tcW w:w="100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b/>
                <w:bCs/>
                <w:sz w:val="24"/>
                <w:szCs w:val="24"/>
                <w:lang w:val="ro-RO"/>
              </w:rPr>
              <w:t>Potențial de interacțiuni medicamentoase</w:t>
            </w:r>
          </w:p>
        </w:tc>
        <w:tc>
          <w:tcPr>
            <w:tcW w:w="126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Înalt</w:t>
            </w:r>
          </w:p>
        </w:tc>
        <w:tc>
          <w:tcPr>
            <w:tcW w:w="132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Scăzut</w:t>
            </w:r>
          </w:p>
        </w:tc>
        <w:tc>
          <w:tcPr>
            <w:tcW w:w="75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Variabil</w:t>
            </w:r>
          </w:p>
        </w:tc>
        <w:tc>
          <w:tcPr>
            <w:tcW w:w="64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Scăzut spre moderat</w:t>
            </w:r>
          </w:p>
        </w:tc>
      </w:tr>
      <w:tr w:rsidR="00FF5E27" w:rsidRPr="00FF5E27" w:rsidTr="003D68D2">
        <w:tc>
          <w:tcPr>
            <w:tcW w:w="100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b/>
                <w:bCs/>
                <w:sz w:val="24"/>
                <w:szCs w:val="24"/>
                <w:lang w:val="ro-RO"/>
              </w:rPr>
              <w:t>Toxicitate</w:t>
            </w:r>
          </w:p>
        </w:tc>
        <w:tc>
          <w:tcPr>
            <w:tcW w:w="126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Erupție cutanată, anemie,</w:t>
            </w:r>
          </w:p>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 bilirubină</w:t>
            </w:r>
          </w:p>
        </w:tc>
        <w:tc>
          <w:tcPr>
            <w:tcW w:w="132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 xml:space="preserve">Toxicitate mitocondrială, interacțiuni cu antiretrovirale HIV </w:t>
            </w:r>
            <w:r w:rsidRPr="00FF5E27">
              <w:rPr>
                <w:rFonts w:ascii="Times New Roman" w:eastAsia="Calibri" w:hAnsi="Times New Roman" w:cs="Times New Roman"/>
                <w:sz w:val="24"/>
                <w:szCs w:val="24"/>
                <w:lang w:val="ro-RO"/>
              </w:rPr>
              <w:lastRenderedPageBreak/>
              <w:t>(inhibitori nucleozidici de revers transcriptază) și cu ribavirinum*</w:t>
            </w:r>
          </w:p>
        </w:tc>
        <w:tc>
          <w:tcPr>
            <w:tcW w:w="75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lastRenderedPageBreak/>
              <w:t>Variabil</w:t>
            </w:r>
          </w:p>
        </w:tc>
        <w:tc>
          <w:tcPr>
            <w:tcW w:w="64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Variabil</w:t>
            </w:r>
          </w:p>
        </w:tc>
      </w:tr>
      <w:tr w:rsidR="00FF5E27" w:rsidRPr="00FF5E27" w:rsidTr="003D68D2">
        <w:tc>
          <w:tcPr>
            <w:tcW w:w="100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b/>
                <w:bCs/>
                <w:sz w:val="24"/>
                <w:szCs w:val="24"/>
                <w:lang w:val="ro-RO"/>
              </w:rPr>
              <w:t>Dozare</w:t>
            </w:r>
          </w:p>
        </w:tc>
        <w:tc>
          <w:tcPr>
            <w:tcW w:w="126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zilnic până la trei ori pe zi</w:t>
            </w:r>
          </w:p>
        </w:tc>
        <w:tc>
          <w:tcPr>
            <w:tcW w:w="132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zilnic până la două ori pe zi</w:t>
            </w:r>
          </w:p>
        </w:tc>
        <w:tc>
          <w:tcPr>
            <w:tcW w:w="75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zilnic până la trei ori pe zi</w:t>
            </w:r>
          </w:p>
        </w:tc>
        <w:tc>
          <w:tcPr>
            <w:tcW w:w="64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zilnic</w:t>
            </w:r>
          </w:p>
        </w:tc>
      </w:tr>
      <w:tr w:rsidR="00FF5E27" w:rsidRPr="00D645AA" w:rsidTr="003D68D2">
        <w:tc>
          <w:tcPr>
            <w:tcW w:w="100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b/>
                <w:bCs/>
                <w:sz w:val="24"/>
                <w:szCs w:val="24"/>
                <w:lang w:val="ro-RO"/>
              </w:rPr>
              <w:t>Comentarii</w:t>
            </w:r>
          </w:p>
        </w:tc>
        <w:tc>
          <w:tcPr>
            <w:tcW w:w="126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Inhibitorii de protează de generație ulterioară sunt de așteptat să aibă bariere mai mari la rezistență și să fie pan-genotip</w:t>
            </w:r>
          </w:p>
        </w:tc>
        <w:tc>
          <w:tcPr>
            <w:tcW w:w="1329"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Țintă unică pentru legarea la locul activ</w:t>
            </w:r>
          </w:p>
        </w:tc>
        <w:tc>
          <w:tcPr>
            <w:tcW w:w="755"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Multe ținte pentru legarea la situsurile alosterice</w:t>
            </w:r>
          </w:p>
        </w:tc>
        <w:tc>
          <w:tcPr>
            <w:tcW w:w="642" w:type="pct"/>
            <w:shd w:val="clear" w:color="auto" w:fill="auto"/>
            <w:hideMark/>
          </w:tcPr>
          <w:p w:rsidR="00FF5E27" w:rsidRPr="00FF5E27" w:rsidRDefault="00FF5E27" w:rsidP="00FF5E27">
            <w:pPr>
              <w:spacing w:after="0" w:line="240" w:lineRule="auto"/>
              <w:jc w:val="both"/>
              <w:rPr>
                <w:rFonts w:ascii="Times New Roman" w:eastAsia="Calibri" w:hAnsi="Times New Roman" w:cs="Times New Roman"/>
                <w:sz w:val="24"/>
                <w:szCs w:val="24"/>
                <w:lang w:val="ro-RO"/>
              </w:rPr>
            </w:pPr>
            <w:r w:rsidRPr="00FF5E27">
              <w:rPr>
                <w:rFonts w:ascii="Times New Roman" w:eastAsia="Calibri" w:hAnsi="Times New Roman" w:cs="Times New Roman"/>
                <w:sz w:val="24"/>
                <w:szCs w:val="24"/>
                <w:lang w:val="ro-RO"/>
              </w:rPr>
              <w:t>Mecanisme multiple de acțiune antivirale</w:t>
            </w:r>
          </w:p>
        </w:tc>
      </w:tr>
    </w:tbl>
    <w:p w:rsidR="00FF5E27" w:rsidRPr="00FF5E27" w:rsidRDefault="00FF5E27" w:rsidP="00FF5E27">
      <w:pPr>
        <w:spacing w:after="0" w:line="240" w:lineRule="auto"/>
        <w:jc w:val="both"/>
        <w:rPr>
          <w:rFonts w:ascii="Times New Roman" w:eastAsia="Times New Roman" w:hAnsi="Times New Roman" w:cs="Times New Roman"/>
          <w:b/>
          <w:bCs/>
          <w:i/>
          <w:iCs/>
          <w:color w:val="232323"/>
          <w:sz w:val="24"/>
          <w:szCs w:val="24"/>
          <w:lang w:val="ro-RO"/>
        </w:rPr>
      </w:pPr>
    </w:p>
    <w:p w:rsidR="00FF5E27" w:rsidRPr="00FF5E27" w:rsidRDefault="00FF5E27" w:rsidP="00FF5E27">
      <w:pPr>
        <w:spacing w:after="0" w:line="240" w:lineRule="auto"/>
        <w:jc w:val="both"/>
        <w:rPr>
          <w:rFonts w:ascii="Times New Roman" w:eastAsia="Times New Roman" w:hAnsi="Times New Roman" w:cs="Times New Roman"/>
          <w:b/>
          <w:bCs/>
          <w:i/>
          <w:iCs/>
          <w:color w:val="232323"/>
          <w:sz w:val="24"/>
          <w:szCs w:val="24"/>
          <w:lang w:val="ro-RO"/>
        </w:rPr>
      </w:pPr>
    </w:p>
    <w:p w:rsidR="00FF5E27" w:rsidRPr="00FF5E27" w:rsidRDefault="00FF5E27" w:rsidP="00FF5E27">
      <w:pPr>
        <w:spacing w:after="0" w:line="240" w:lineRule="auto"/>
        <w:jc w:val="both"/>
        <w:rPr>
          <w:rFonts w:ascii="Times New Roman" w:eastAsia="Times New Roman" w:hAnsi="Times New Roman" w:cs="Times New Roman"/>
          <w:b/>
          <w:bCs/>
          <w:i/>
          <w:iCs/>
          <w:color w:val="232323"/>
          <w:sz w:val="24"/>
          <w:szCs w:val="24"/>
          <w:lang w:val="ro-RO"/>
        </w:rPr>
      </w:pPr>
      <w:r w:rsidRPr="00FF5E27">
        <w:rPr>
          <w:rFonts w:ascii="Times New Roman" w:eastAsia="Times New Roman" w:hAnsi="Times New Roman" w:cs="Times New Roman"/>
          <w:b/>
          <w:bCs/>
          <w:i/>
          <w:iCs/>
          <w:color w:val="232323"/>
          <w:sz w:val="24"/>
          <w:szCs w:val="24"/>
          <w:lang w:val="ro-RO"/>
        </w:rPr>
        <w:t xml:space="preserve">Notă: </w:t>
      </w:r>
    </w:p>
    <w:p w:rsidR="00FF5E27" w:rsidRPr="00FF5E27" w:rsidRDefault="00FF5E27" w:rsidP="00461D8F">
      <w:pPr>
        <w:numPr>
          <w:ilvl w:val="0"/>
          <w:numId w:val="65"/>
        </w:numPr>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Țintele principale ale agenților antivirali cu acțiune directă sunt proteinele nestructurale (NS) codificate de VHC, care sunt vitale pentru replicarea virusului. Inhibitorii de protează blochează funcția serin proteazei NS3/NS4A. Inhibitorii nucleozidici și nonnuclozidici blochează funcția polimerazei NS5B. Proteina NS5A are un rol prezumtiv în organizarea complexului de replicare și în reglarea replicării. Este, de asemenea, implicat în asamblarea particulei virale care este eliberată din celula gazdă.</w:t>
      </w:r>
    </w:p>
    <w:p w:rsidR="00FF5E27" w:rsidRPr="00FF5E27" w:rsidRDefault="00FF5E27" w:rsidP="00461D8F">
      <w:pPr>
        <w:numPr>
          <w:ilvl w:val="0"/>
          <w:numId w:val="65"/>
        </w:numPr>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*Astfel de toxicități au afectat clasa inhibitorilor nucleozidici în ansamblu. Cu toate acestea, primul inhibitor al polimerazei nucleozide disponibile, sofosbuvirum, nu a fost asociat cu o toxicitate gravă.</w:t>
      </w:r>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color w:val="232323"/>
          <w:spacing w:val="15"/>
          <w:sz w:val="24"/>
          <w:szCs w:val="24"/>
          <w:shd w:val="clear" w:color="auto" w:fill="FFFFFF"/>
          <w:lang w:val="ro-RO" w:eastAsia="x-none"/>
        </w:rPr>
      </w:pPr>
      <w:bookmarkStart w:id="123" w:name="_Toc177994810"/>
      <w:r w:rsidRPr="00FF5E27">
        <w:rPr>
          <w:rFonts w:ascii="Times New Roman" w:eastAsia="Times New Roman" w:hAnsi="Times New Roman" w:cs="Times New Roman"/>
          <w:b/>
          <w:spacing w:val="15"/>
          <w:sz w:val="24"/>
          <w:szCs w:val="24"/>
          <w:lang w:val="ro-RO" w:eastAsia="x-none"/>
        </w:rPr>
        <w:t>C.2.3.8.3. Terapia antivirală inițială la adulții cu infecție cronică virală C</w:t>
      </w:r>
      <w:bookmarkEnd w:id="123"/>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b/>
          <w:bCs/>
          <w:color w:val="232323"/>
          <w:sz w:val="24"/>
          <w:szCs w:val="24"/>
          <w:shd w:val="clear" w:color="auto" w:fill="FFFFFF"/>
          <w:lang w:val="ro-RO"/>
        </w:rPr>
        <w:t xml:space="preserve">Regimuri de tratament antiviral recomandate pentru bolile hepatice determinate de infecția cronică cu VHC </w:t>
      </w:r>
      <w:r w:rsidRPr="00FF5E27">
        <w:rPr>
          <w:rFonts w:ascii="Times New Roman" w:eastAsia="Times New Roman" w:hAnsi="Times New Roman" w:cs="Times New Roman"/>
          <w:color w:val="232323"/>
          <w:sz w:val="24"/>
          <w:szCs w:val="24"/>
          <w:shd w:val="clear" w:color="auto" w:fill="FFFFFF"/>
          <w:lang w:val="ro-RO"/>
        </w:rPr>
        <w:t>[</w:t>
      </w:r>
      <w:hyperlink r:id="rId42" w:history="1">
        <w:r w:rsidRPr="00FF5E27">
          <w:rPr>
            <w:rFonts w:ascii="Times New Roman" w:eastAsia="Times New Roman" w:hAnsi="Times New Roman" w:cs="Times New Roman"/>
            <w:sz w:val="24"/>
            <w:szCs w:val="24"/>
            <w:lang w:val="ro-RO"/>
          </w:rPr>
          <w:t>36</w:t>
        </w:r>
      </w:hyperlink>
      <w:r w:rsidRPr="00FF5E27">
        <w:rPr>
          <w:rFonts w:ascii="Times New Roman" w:eastAsia="Times New Roman" w:hAnsi="Times New Roman" w:cs="Times New Roman"/>
          <w:sz w:val="24"/>
          <w:szCs w:val="24"/>
          <w:lang w:val="ro-RO"/>
        </w:rPr>
        <w:t>]</w:t>
      </w:r>
    </w:p>
    <w:p w:rsidR="00FF5E27" w:rsidRPr="00FF5E27" w:rsidRDefault="00FF5E27" w:rsidP="00FF5E27">
      <w:pPr>
        <w:shd w:val="clear" w:color="auto" w:fill="FFFFFF"/>
        <w:spacing w:after="0" w:line="240" w:lineRule="auto"/>
        <w:jc w:val="both"/>
        <w:rPr>
          <w:rFonts w:ascii="Times New Roman" w:eastAsia="Times New Roman" w:hAnsi="Times New Roman" w:cs="Times New Roman"/>
          <w:b/>
          <w:bCs/>
          <w:color w:val="232323"/>
          <w:sz w:val="24"/>
          <w:szCs w:val="24"/>
          <w:shd w:val="clear" w:color="auto" w:fill="FFFFFF"/>
          <w:lang w:val="ro-RO"/>
        </w:rPr>
      </w:pPr>
      <w:r w:rsidRPr="00FF5E27">
        <w:rPr>
          <w:rFonts w:ascii="Times New Roman" w:eastAsia="Times New Roman" w:hAnsi="Times New Roman" w:cs="Times New Roman"/>
          <w:b/>
          <w:bCs/>
          <w:color w:val="232323"/>
          <w:sz w:val="24"/>
          <w:szCs w:val="24"/>
          <w:shd w:val="clear" w:color="auto" w:fill="FFFFFF"/>
          <w:lang w:val="ro-RO"/>
        </w:rPr>
        <w:t>Tabelul 1</w:t>
      </w:r>
      <w:r w:rsidR="00955272">
        <w:rPr>
          <w:rFonts w:ascii="Times New Roman" w:eastAsia="Times New Roman" w:hAnsi="Times New Roman" w:cs="Times New Roman"/>
          <w:b/>
          <w:bCs/>
          <w:color w:val="232323"/>
          <w:sz w:val="24"/>
          <w:szCs w:val="24"/>
          <w:shd w:val="clear" w:color="auto" w:fill="FFFFFF"/>
          <w:lang w:val="ro-RO"/>
        </w:rPr>
        <w:t>3</w:t>
      </w:r>
      <w:r w:rsidRPr="00FF5E27">
        <w:rPr>
          <w:rFonts w:ascii="Times New Roman" w:eastAsia="Times New Roman" w:hAnsi="Times New Roman" w:cs="Times New Roman"/>
          <w:b/>
          <w:bCs/>
          <w:color w:val="232323"/>
          <w:sz w:val="24"/>
          <w:szCs w:val="24"/>
          <w:shd w:val="clear" w:color="auto" w:fill="FFFFFF"/>
          <w:lang w:val="ro-RO"/>
        </w:rPr>
        <w:t>.</w:t>
      </w:r>
      <w:r w:rsidRPr="00FF5E27">
        <w:rPr>
          <w:rFonts w:ascii="Times New Roman" w:eastAsia="Times New Roman" w:hAnsi="Times New Roman" w:cs="Times New Roman"/>
          <w:color w:val="232323"/>
          <w:sz w:val="24"/>
          <w:szCs w:val="24"/>
          <w:shd w:val="clear" w:color="auto" w:fill="FFFFFF"/>
          <w:lang w:val="ro-RO"/>
        </w:rPr>
        <w:t xml:space="preserve"> </w:t>
      </w:r>
      <w:r w:rsidRPr="00FF5E27">
        <w:rPr>
          <w:rFonts w:ascii="Times New Roman" w:eastAsia="Times New Roman" w:hAnsi="Times New Roman" w:cs="Times New Roman"/>
          <w:b/>
          <w:bCs/>
          <w:color w:val="232323"/>
          <w:sz w:val="24"/>
          <w:szCs w:val="24"/>
          <w:shd w:val="clear" w:color="auto" w:fill="FFFFFF"/>
          <w:lang w:val="ro-RO"/>
        </w:rPr>
        <w:t xml:space="preserve">Regimul pangenotipic de </w:t>
      </w:r>
      <w:hyperlink r:id="rId43" w:history="1">
        <w:r w:rsidRPr="00FF5E27">
          <w:rPr>
            <w:rFonts w:ascii="Times New Roman" w:eastAsia="Times New Roman" w:hAnsi="Times New Roman" w:cs="Times New Roman"/>
            <w:b/>
            <w:bCs/>
            <w:sz w:val="24"/>
            <w:szCs w:val="24"/>
            <w:shd w:val="clear" w:color="auto" w:fill="FFFFFF"/>
            <w:lang w:val="ro-RO"/>
          </w:rPr>
          <w:t>sofosbuvirum+velpatasvir</w:t>
        </w:r>
      </w:hyperlink>
      <w:r w:rsidRPr="00FF5E27">
        <w:rPr>
          <w:rFonts w:ascii="Times New Roman" w:eastAsia="Times New Roman" w:hAnsi="Times New Roman" w:cs="Times New Roman"/>
          <w:b/>
          <w:bCs/>
          <w:sz w:val="24"/>
          <w:szCs w:val="24"/>
          <w:lang w:val="ro-RO"/>
        </w:rPr>
        <w:t>um*</w:t>
      </w:r>
      <w:r w:rsidRPr="00FF5E27">
        <w:rPr>
          <w:rFonts w:ascii="Times New Roman" w:eastAsia="Times New Roman" w:hAnsi="Times New Roman" w:cs="Times New Roman"/>
          <w:b/>
          <w:bCs/>
          <w:color w:val="232323"/>
          <w:sz w:val="24"/>
          <w:szCs w:val="24"/>
          <w:shd w:val="clear" w:color="auto" w:fill="FFFFFF"/>
          <w:lang w:val="ro-RO"/>
        </w:rPr>
        <w:t xml:space="preserve"> pentru tratamentul infecției cronice cu VHC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FF5E27" w:rsidRPr="00FF5E27" w:rsidTr="00FF5E27">
        <w:tc>
          <w:tcPr>
            <w:tcW w:w="2500" w:type="pct"/>
            <w:shd w:val="clear" w:color="auto" w:fill="auto"/>
          </w:tcPr>
          <w:p w:rsidR="00FF5E27" w:rsidRPr="00FF5E27" w:rsidRDefault="00FF5E27" w:rsidP="00FF5E27">
            <w:pPr>
              <w:spacing w:after="0" w:line="240" w:lineRule="auto"/>
              <w:ind w:left="360"/>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 xml:space="preserve">Indicații de tratament al infecției cronice cu VHC cu regimul pangenotipic </w:t>
            </w:r>
            <w:r w:rsidRPr="00FF5E27">
              <w:rPr>
                <w:rFonts w:ascii="Times New Roman" w:eastAsia="Times New Roman" w:hAnsi="Times New Roman" w:cs="Times New Roman"/>
                <w:b/>
                <w:bCs/>
                <w:color w:val="232323"/>
                <w:sz w:val="24"/>
                <w:szCs w:val="24"/>
                <w:shd w:val="clear" w:color="auto" w:fill="FFFFFF"/>
                <w:lang w:val="ro-RO"/>
              </w:rPr>
              <w:t>Sofosbuvirum și velpatasvirum*</w:t>
            </w:r>
          </w:p>
        </w:tc>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Posologia</w:t>
            </w:r>
          </w:p>
        </w:tc>
      </w:tr>
      <w:tr w:rsidR="00FF5E27" w:rsidRPr="00D645AA" w:rsidTr="00FF5E27">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Tratament naiv fără ciroză sau cu ciroză compensată, genotipurile 1, 2, 3*, 4, 5 sau 6:</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Oral: 1 comprimat o dată pe zi timp de 12 săptămâni </w:t>
            </w:r>
          </w:p>
        </w:tc>
      </w:tr>
      <w:tr w:rsidR="00FF5E27" w:rsidRPr="00D645AA" w:rsidTr="00FF5E27">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Ciroză decompensată, genotipurile 1, 2, 3, 4, 5 sau 6:</w:t>
            </w:r>
          </w:p>
        </w:tc>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Oral: 1 comprimat o dată pe zi în asociere cu ribavirinum* concomitentă timp de 12 săptămâni; dacă ribavirinum* nu este eligibilă, 1 comprimat o dată pe zi timp de 24 de săptămâni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r>
      <w:tr w:rsidR="00FF5E27" w:rsidRPr="00D645AA" w:rsidTr="00FF5E27">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Ciroză decompensată, cu eșec anterior al tratamentului pe bază de sofosbuvirum sau inhibitor NS5A, genotipurile 1, 2, 3, 4, 5 sau 6: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lang w:val="ro-RO" w:eastAsia="ru-RU"/>
              </w:rPr>
              <w:lastRenderedPageBreak/>
              <w:t xml:space="preserve">Oral: 1 comprimat o dată pe zi în asociere cu ribavirinum* concomitentă timp de 24 de săptămâni </w:t>
            </w:r>
          </w:p>
        </w:tc>
      </w:tr>
      <w:tr w:rsidR="00FF5E27" w:rsidRPr="00D645AA" w:rsidTr="00FF5E27">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Post transplant de rinichi, genotipurile 1, 2, 3, 4, 5 sau 6:</w:t>
            </w:r>
          </w:p>
          <w:p w:rsidR="00FF5E27" w:rsidRPr="00FF5E27" w:rsidRDefault="00FF5E27" w:rsidP="00FF5E27">
            <w:pPr>
              <w:spacing w:after="0" w:line="240" w:lineRule="auto"/>
              <w:ind w:left="360"/>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Tratament antiviral naiv și cu experiență la medicamente cu acțiune indirectă, fără ciroză sau cu ciroză compensată: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p>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lang w:val="ro-RO" w:eastAsia="ru-RU"/>
              </w:rPr>
              <w:t>Oral: 1 comprimat o dată pe zi timp de 12 săptămâni</w:t>
            </w:r>
          </w:p>
        </w:tc>
      </w:tr>
      <w:tr w:rsidR="00FF5E27" w:rsidRPr="00D645AA" w:rsidTr="00FF5E27">
        <w:trPr>
          <w:trHeight w:val="1838"/>
        </w:trPr>
        <w:tc>
          <w:tcPr>
            <w:tcW w:w="2500" w:type="pct"/>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După transplant hepatic, genotipurile 1, 2, 3, 4, 5 sau 6:</w:t>
            </w:r>
          </w:p>
          <w:p w:rsidR="00FF5E27" w:rsidRPr="00FF5E27" w:rsidRDefault="00FF5E27" w:rsidP="00461D8F">
            <w:pPr>
              <w:numPr>
                <w:ilvl w:val="0"/>
                <w:numId w:val="67"/>
              </w:numPr>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Tratament antiviral naiv și cu experiență la tratament cu acțiune indirectă, fără ciroză sau cu ciroză compensată:</w:t>
            </w:r>
          </w:p>
          <w:p w:rsidR="00FF5E27" w:rsidRPr="00FF5E27" w:rsidRDefault="00FF5E27" w:rsidP="00461D8F">
            <w:pPr>
              <w:numPr>
                <w:ilvl w:val="0"/>
                <w:numId w:val="67"/>
              </w:numPr>
              <w:spacing w:before="100" w:after="0" w:line="240" w:lineRule="auto"/>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lang w:val="ro-RO" w:eastAsia="ru-RU"/>
              </w:rPr>
              <w:t>Ciroză decompensată:</w:t>
            </w:r>
          </w:p>
        </w:tc>
        <w:tc>
          <w:tcPr>
            <w:tcW w:w="2500" w:type="pct"/>
            <w:shd w:val="clear" w:color="auto" w:fill="auto"/>
          </w:tcPr>
          <w:p w:rsidR="00FF5E27" w:rsidRPr="00FF5E27" w:rsidRDefault="00FF5E27" w:rsidP="00461D8F">
            <w:pPr>
              <w:numPr>
                <w:ilvl w:val="0"/>
                <w:numId w:val="68"/>
              </w:numPr>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Oral: 1 comprimat o dată pe zi timp de 12 săptămâni </w:t>
            </w:r>
          </w:p>
          <w:p w:rsidR="00FF5E27" w:rsidRPr="00FF5E27" w:rsidRDefault="00FF5E27" w:rsidP="00461D8F">
            <w:pPr>
              <w:numPr>
                <w:ilvl w:val="0"/>
                <w:numId w:val="68"/>
              </w:numPr>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Oral: 1 comprimat o dată pe zi în asociere cu ribavirinum* concomitentă timp de 12 săptămâni (tratament naiv) sau 24 săptămâni (cu experiență de tratament antiviral cu acțiune indirectă) </w:t>
            </w:r>
          </w:p>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p>
        </w:tc>
      </w:tr>
    </w:tbl>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i/>
          <w:iCs/>
          <w:color w:val="232323"/>
          <w:sz w:val="24"/>
          <w:szCs w:val="24"/>
          <w:lang w:val="ro-RO" w:eastAsia="ru-RU"/>
        </w:rPr>
        <w:t>Notă:</w:t>
      </w:r>
    </w:p>
    <w:p w:rsidR="00FF5E27" w:rsidRPr="00FF5E27" w:rsidRDefault="00FF5E27" w:rsidP="00461D8F">
      <w:pPr>
        <w:numPr>
          <w:ilvl w:val="0"/>
          <w:numId w:val="69"/>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Dozare și administrare – Este disponibil sub formă de comprimat combinat cu doză fixă a inhibitorului NS5B </w:t>
      </w:r>
      <w:hyperlink r:id="rId44" w:history="1">
        <w:r w:rsidRPr="00FF5E27">
          <w:rPr>
            <w:rFonts w:ascii="Times New Roman" w:eastAsia="Times New Roman" w:hAnsi="Times New Roman" w:cs="Times New Roman"/>
            <w:sz w:val="24"/>
            <w:szCs w:val="24"/>
            <w:lang w:val="ro-RO"/>
          </w:rPr>
          <w:t>sofosbuvir</w:t>
        </w:r>
      </w:hyperlink>
      <w:r w:rsidRPr="00FF5E27">
        <w:rPr>
          <w:rFonts w:ascii="Times New Roman" w:eastAsia="Times New Roman" w:hAnsi="Times New Roman" w:cs="Times New Roman"/>
          <w:sz w:val="24"/>
          <w:szCs w:val="24"/>
          <w:lang w:val="ro-RO"/>
        </w:rPr>
        <w:t>um*</w:t>
      </w:r>
      <w:r w:rsidRPr="00FF5E27">
        <w:rPr>
          <w:rFonts w:ascii="Times New Roman" w:eastAsia="Times New Roman" w:hAnsi="Times New Roman" w:cs="Times New Roman"/>
          <w:color w:val="232323"/>
          <w:sz w:val="24"/>
          <w:szCs w:val="24"/>
          <w:lang w:val="ro-RO"/>
        </w:rPr>
        <w:t xml:space="preserve"> (400 mg) și a inhibitorului NS5A velpatasvirum* (100 mg) și se administrează o dată pe zi, cu sau fără alimente. </w:t>
      </w:r>
    </w:p>
    <w:p w:rsidR="00FF5E27" w:rsidRPr="00FF5E27" w:rsidRDefault="00FF5E27" w:rsidP="00461D8F">
      <w:pPr>
        <w:numPr>
          <w:ilvl w:val="0"/>
          <w:numId w:val="69"/>
        </w:numPr>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*Pacienții cu genotip 3, cu ciroză compensată trebuie testați pentru substituția asociată cu rezistență la NS5A (RAS) Y93H pentru velpatasvirum*; dacă este prezent, utilizați sofosbuvirum 400 mg +velpatasvirum 100 mg în combinație cu ribavirinum* sau selectați un regim diferit.</w:t>
      </w:r>
    </w:p>
    <w:p w:rsidR="00FF5E27" w:rsidRPr="00FF5E27" w:rsidRDefault="00FF5E27" w:rsidP="00461D8F">
      <w:pPr>
        <w:numPr>
          <w:ilvl w:val="0"/>
          <w:numId w:val="69"/>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353535"/>
          <w:sz w:val="24"/>
          <w:szCs w:val="24"/>
          <w:bdr w:val="none" w:sz="0" w:space="0" w:color="auto" w:frame="1"/>
          <w:lang w:val="ro-RO" w:eastAsia="ru-RU"/>
        </w:rPr>
        <w:t>Dozare: Insuficiență renală: Adult</w:t>
      </w:r>
    </w:p>
    <w:p w:rsidR="00FF5E27" w:rsidRPr="00FF5E27" w:rsidRDefault="00FF5E27" w:rsidP="00461D8F">
      <w:pPr>
        <w:numPr>
          <w:ilvl w:val="0"/>
          <w:numId w:val="70"/>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Insuficiență ușoară, moderată sau severă: nu este necesară ajustarea dozei.</w:t>
      </w:r>
    </w:p>
    <w:p w:rsidR="00FF5E27" w:rsidRPr="00FF5E27" w:rsidRDefault="00FF5E27" w:rsidP="00461D8F">
      <w:pPr>
        <w:numPr>
          <w:ilvl w:val="0"/>
          <w:numId w:val="70"/>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Boală renală în stadiu terminal care necesită hemodializă: nu este necesară ajustarea dozei.</w:t>
      </w:r>
    </w:p>
    <w:p w:rsidR="00FF5E27" w:rsidRPr="00FF5E27" w:rsidRDefault="00FF5E27" w:rsidP="00461D8F">
      <w:pPr>
        <w:numPr>
          <w:ilvl w:val="0"/>
          <w:numId w:val="81"/>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353535"/>
          <w:sz w:val="24"/>
          <w:szCs w:val="24"/>
          <w:bdr w:val="none" w:sz="0" w:space="0" w:color="auto" w:frame="1"/>
          <w:lang w:val="ro-RO" w:eastAsia="ru-RU"/>
        </w:rPr>
        <w:t>Dozare: Insuficiență hepatică: Adult</w:t>
      </w:r>
    </w:p>
    <w:p w:rsidR="00FF5E27" w:rsidRPr="00FF5E27" w:rsidRDefault="00FF5E27" w:rsidP="00461D8F">
      <w:pPr>
        <w:numPr>
          <w:ilvl w:val="0"/>
          <w:numId w:val="71"/>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i/>
          <w:iCs/>
          <w:color w:val="232323"/>
          <w:sz w:val="24"/>
          <w:szCs w:val="24"/>
          <w:lang w:val="ro-RO" w:eastAsia="ru-RU"/>
        </w:rPr>
        <w:t>Insuficiență hepatică preexistentă:</w:t>
      </w:r>
      <w:r w:rsidRPr="00FF5E27">
        <w:rPr>
          <w:rFonts w:ascii="Times New Roman" w:eastAsia="Times New Roman" w:hAnsi="Times New Roman" w:cs="Times New Roman"/>
          <w:color w:val="232323"/>
          <w:sz w:val="24"/>
          <w:szCs w:val="24"/>
          <w:lang w:val="ro-RO" w:eastAsia="ru-RU"/>
        </w:rPr>
        <w:t xml:space="preserve"> insuficiență ușoară, moderată sau severă (clasa Child-Pugh A, B sau C): nu este necesară ajustarea dozei.</w:t>
      </w:r>
    </w:p>
    <w:p w:rsidR="00FF5E27" w:rsidRPr="00FF5E27" w:rsidRDefault="00FF5E27" w:rsidP="00461D8F">
      <w:pPr>
        <w:numPr>
          <w:ilvl w:val="0"/>
          <w:numId w:val="71"/>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i/>
          <w:iCs/>
          <w:color w:val="232323"/>
          <w:sz w:val="24"/>
          <w:szCs w:val="24"/>
          <w:lang w:val="ro-RO" w:eastAsia="ru-RU"/>
        </w:rPr>
        <w:t>Hepatotoxicitate în timpul tratamentului:</w:t>
      </w:r>
    </w:p>
    <w:p w:rsidR="00FF5E27" w:rsidRPr="00FF5E27" w:rsidRDefault="00FF5E27" w:rsidP="00461D8F">
      <w:pPr>
        <w:numPr>
          <w:ilvl w:val="0"/>
          <w:numId w:val="72"/>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Creșteri asimptomatice ale ALT &lt;10 ori: monitorizați îndeaproape cu repetarea testelor la fiecare 2 săptămâni. Dacă supraînălțarea persistă, luați în considerare oprirea terapiei. Creștere &lt;10 ori a ALT față de valoarea inițială cu slăbiciune, greață, vărsături, icter sau creștere semnificativă a bilirubinei, fosfatazei alcaline sau INR: întrerupeți administrarea antiviralelor cu acțiune directă. </w:t>
      </w:r>
    </w:p>
    <w:p w:rsidR="00FF5E27" w:rsidRPr="00FF5E27" w:rsidRDefault="00FF5E27" w:rsidP="00461D8F">
      <w:pPr>
        <w:numPr>
          <w:ilvl w:val="0"/>
          <w:numId w:val="72"/>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Creștere ≥10 ori a ALT față de valoarea inițială în orice moment în timpul tratamentului: întrerupeți terapia antivirală cu acțiune directă, în special cu semne și simptome de inflamație hepatică sau creșterea bilirubinei conjugate, fosfatazei alcaline sau INR.</w:t>
      </w:r>
    </w:p>
    <w:p w:rsidR="00FF5E27" w:rsidRPr="00FF5E27" w:rsidRDefault="00FF5E27" w:rsidP="00461D8F">
      <w:pPr>
        <w:numPr>
          <w:ilvl w:val="0"/>
          <w:numId w:val="81"/>
        </w:numPr>
        <w:shd w:val="clear" w:color="auto" w:fill="FFFFFF"/>
        <w:spacing w:before="100" w:after="0" w:line="240" w:lineRule="auto"/>
        <w:jc w:val="both"/>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Ajustarea dozei pentru terapia concomitentă:</w:t>
      </w:r>
    </w:p>
    <w:p w:rsidR="00FF5E27" w:rsidRPr="00FF5E27" w:rsidRDefault="00FF5E27" w:rsidP="00FF5E27">
      <w:pPr>
        <w:shd w:val="clear" w:color="auto" w:fill="FFFFFF"/>
        <w:spacing w:after="0" w:line="240" w:lineRule="auto"/>
        <w:contextualSpacing/>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 </w:t>
      </w:r>
      <w:r w:rsidRPr="00FF5E27">
        <w:rPr>
          <w:rFonts w:ascii="Times New Roman" w:eastAsia="Times New Roman" w:hAnsi="Times New Roman" w:cs="Times New Roman"/>
          <w:color w:val="232323"/>
          <w:sz w:val="24"/>
          <w:szCs w:val="24"/>
          <w:shd w:val="clear" w:color="auto" w:fill="FFFFFF"/>
          <w:lang w:val="ro-RO" w:eastAsia="ru-RU"/>
        </w:rPr>
        <w:t xml:space="preserve">Există </w:t>
      </w:r>
      <w:r w:rsidRPr="00FF5E27">
        <w:rPr>
          <w:rFonts w:ascii="Times New Roman" w:eastAsia="Times New Roman" w:hAnsi="Times New Roman" w:cs="Times New Roman"/>
          <w:b/>
          <w:bCs/>
          <w:color w:val="232323"/>
          <w:sz w:val="24"/>
          <w:szCs w:val="24"/>
          <w:shd w:val="clear" w:color="auto" w:fill="FFFFFF"/>
          <w:lang w:val="ro-RO" w:eastAsia="ru-RU"/>
        </w:rPr>
        <w:t>interacțiuni medicamentoase semnificative</w:t>
      </w:r>
      <w:r w:rsidRPr="00FF5E27">
        <w:rPr>
          <w:rFonts w:ascii="Times New Roman" w:eastAsia="Times New Roman" w:hAnsi="Times New Roman" w:cs="Times New Roman"/>
          <w:color w:val="232323"/>
          <w:sz w:val="24"/>
          <w:szCs w:val="24"/>
          <w:shd w:val="clear" w:color="auto" w:fill="FFFFFF"/>
          <w:lang w:val="ro-RO" w:eastAsia="ru-RU"/>
        </w:rPr>
        <w:t>, care necesită ajustarea dozei/frecvenței sau evitarea.</w:t>
      </w:r>
    </w:p>
    <w:p w:rsidR="00FF5E27" w:rsidRPr="00FF5E27" w:rsidRDefault="00FF5E27" w:rsidP="00FF5E27">
      <w:pPr>
        <w:shd w:val="clear" w:color="auto" w:fill="FFFFFF"/>
        <w:spacing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b/>
          <w:bCs/>
          <w:color w:val="232323"/>
          <w:sz w:val="24"/>
          <w:szCs w:val="24"/>
          <w:lang w:val="ro-RO"/>
        </w:rPr>
        <w:t>Interacțiuni medicamentoase</w:t>
      </w:r>
      <w:r w:rsidRPr="00FF5E27">
        <w:rPr>
          <w:rFonts w:ascii="Times New Roman" w:eastAsia="Times New Roman" w:hAnsi="Times New Roman" w:cs="Times New Roman"/>
          <w:color w:val="232323"/>
          <w:sz w:val="24"/>
          <w:szCs w:val="24"/>
          <w:lang w:val="ro-RO"/>
        </w:rPr>
        <w:t xml:space="preserve"> – Velpatasvirum*, ca și </w:t>
      </w:r>
      <w:hyperlink r:id="rId45" w:history="1">
        <w:r w:rsidRPr="00FF5E27">
          <w:rPr>
            <w:rFonts w:ascii="Times New Roman" w:eastAsia="Times New Roman" w:hAnsi="Times New Roman" w:cs="Times New Roman"/>
            <w:sz w:val="24"/>
            <w:szCs w:val="24"/>
            <w:lang w:val="ro-RO"/>
          </w:rPr>
          <w:t>sofosbuvir</w:t>
        </w:r>
      </w:hyperlink>
      <w:r w:rsidRPr="00FF5E27">
        <w:rPr>
          <w:rFonts w:ascii="Times New Roman" w:eastAsia="Times New Roman" w:hAnsi="Times New Roman" w:cs="Times New Roman"/>
          <w:sz w:val="24"/>
          <w:szCs w:val="24"/>
          <w:lang w:val="ro-RO"/>
        </w:rPr>
        <w:t xml:space="preserve">um*, este un substrat al transportorului medicamentului P-glicoproteinei (P-gp), astfel încât medicamentele care sunt inductori intestinali puternici de P-gp pot scădea nivelurile de velpatasvirum*. Astfel, </w:t>
      </w:r>
      <w:r w:rsidRPr="00FF5E27">
        <w:rPr>
          <w:rFonts w:ascii="Times New Roman" w:eastAsia="Times New Roman" w:hAnsi="Times New Roman" w:cs="Times New Roman"/>
          <w:sz w:val="24"/>
          <w:szCs w:val="24"/>
          <w:lang w:val="ro-RO"/>
        </w:rPr>
        <w:lastRenderedPageBreak/>
        <w:t xml:space="preserve">administrarea concomitentă de </w:t>
      </w:r>
      <w:hyperlink r:id="rId46" w:history="1">
        <w:r w:rsidRPr="00FF5E27">
          <w:rPr>
            <w:rFonts w:ascii="Times New Roman" w:eastAsia="Times New Roman" w:hAnsi="Times New Roman" w:cs="Times New Roman"/>
            <w:sz w:val="24"/>
            <w:szCs w:val="24"/>
            <w:lang w:val="ro-RO"/>
          </w:rPr>
          <w:t>sofosbuvirum 400 mg +velpatasvir</w:t>
        </w:r>
      </w:hyperlink>
      <w:r w:rsidRPr="00FF5E27">
        <w:rPr>
          <w:rFonts w:ascii="Times New Roman" w:eastAsia="Times New Roman" w:hAnsi="Times New Roman" w:cs="Times New Roman"/>
          <w:sz w:val="24"/>
          <w:szCs w:val="24"/>
          <w:lang w:val="ro-RO"/>
        </w:rPr>
        <w:t xml:space="preserve">um* 100 mg nu este recomandată cu </w:t>
      </w:r>
      <w:hyperlink r:id="rId47" w:history="1">
        <w:r w:rsidRPr="00FF5E27">
          <w:rPr>
            <w:rFonts w:ascii="Times New Roman" w:eastAsia="Times New Roman" w:hAnsi="Times New Roman" w:cs="Times New Roman"/>
            <w:sz w:val="24"/>
            <w:szCs w:val="24"/>
            <w:lang w:val="ro-RO"/>
          </w:rPr>
          <w:t>Rifampin</w:t>
        </w:r>
      </w:hyperlink>
      <w:r w:rsidRPr="00FF5E27">
        <w:rPr>
          <w:rFonts w:ascii="Times New Roman" w:eastAsia="Times New Roman" w:hAnsi="Times New Roman" w:cs="Times New Roman"/>
          <w:sz w:val="24"/>
          <w:szCs w:val="24"/>
          <w:lang w:val="ro-RO"/>
        </w:rPr>
        <w:t xml:space="preserve">, </w:t>
      </w:r>
      <w:hyperlink r:id="rId48" w:history="1">
        <w:r w:rsidRPr="00FF5E27">
          <w:rPr>
            <w:rFonts w:ascii="Times New Roman" w:eastAsia="Times New Roman" w:hAnsi="Times New Roman" w:cs="Times New Roman"/>
            <w:sz w:val="24"/>
            <w:szCs w:val="24"/>
            <w:lang w:val="ro-RO"/>
          </w:rPr>
          <w:t>rifabutin</w:t>
        </w:r>
      </w:hyperlink>
      <w:r w:rsidRPr="00FF5E27">
        <w:rPr>
          <w:rFonts w:ascii="Times New Roman" w:eastAsia="Times New Roman" w:hAnsi="Times New Roman" w:cs="Times New Roman"/>
          <w:sz w:val="24"/>
          <w:szCs w:val="24"/>
          <w:lang w:val="ro-RO"/>
        </w:rPr>
        <w:t xml:space="preserve">, </w:t>
      </w:r>
      <w:hyperlink r:id="rId49" w:history="1">
        <w:r w:rsidRPr="00FF5E27">
          <w:rPr>
            <w:rFonts w:ascii="Times New Roman" w:eastAsia="Times New Roman" w:hAnsi="Times New Roman" w:cs="Times New Roman"/>
            <w:sz w:val="24"/>
            <w:szCs w:val="24"/>
            <w:lang w:val="ro-RO"/>
          </w:rPr>
          <w:t>Rifapentinum</w:t>
        </w:r>
      </w:hyperlink>
      <w:r w:rsidRPr="00FF5E27">
        <w:rPr>
          <w:rFonts w:ascii="Times New Roman" w:eastAsia="Times New Roman" w:hAnsi="Times New Roman" w:cs="Times New Roman"/>
          <w:sz w:val="24"/>
          <w:szCs w:val="24"/>
          <w:lang w:val="ro-RO"/>
        </w:rPr>
        <w:t xml:space="preserve">, sunătoare, </w:t>
      </w:r>
      <w:hyperlink r:id="rId50" w:history="1">
        <w:r w:rsidRPr="00FF5E27">
          <w:rPr>
            <w:rFonts w:ascii="Times New Roman" w:eastAsia="Times New Roman" w:hAnsi="Times New Roman" w:cs="Times New Roman"/>
            <w:sz w:val="24"/>
            <w:szCs w:val="24"/>
            <w:lang w:val="ro-RO"/>
          </w:rPr>
          <w:t>carbamazepină,</w:t>
        </w:r>
      </w:hyperlink>
      <w:r w:rsidRPr="00FF5E27">
        <w:rPr>
          <w:rFonts w:ascii="Times New Roman" w:eastAsia="Times New Roman" w:hAnsi="Times New Roman" w:cs="Times New Roman"/>
          <w:sz w:val="24"/>
          <w:szCs w:val="24"/>
          <w:lang w:val="ro-RO"/>
        </w:rPr>
        <w:t xml:space="preserve"> </w:t>
      </w:r>
      <w:hyperlink r:id="rId51" w:history="1">
        <w:r w:rsidRPr="00FF5E27">
          <w:rPr>
            <w:rFonts w:ascii="Times New Roman" w:eastAsia="Times New Roman" w:hAnsi="Times New Roman" w:cs="Times New Roman"/>
            <w:sz w:val="24"/>
            <w:szCs w:val="24"/>
            <w:lang w:val="ro-RO"/>
          </w:rPr>
          <w:t>phenytoinum</w:t>
        </w:r>
      </w:hyperlink>
      <w:r w:rsidRPr="00FF5E27">
        <w:rPr>
          <w:rFonts w:ascii="Times New Roman" w:eastAsia="Times New Roman" w:hAnsi="Times New Roman" w:cs="Times New Roman"/>
          <w:sz w:val="24"/>
          <w:szCs w:val="24"/>
          <w:lang w:val="ro-RO"/>
        </w:rPr>
        <w:t xml:space="preserve">, </w:t>
      </w:r>
      <w:hyperlink r:id="rId52" w:history="1">
        <w:r w:rsidRPr="00FF5E27">
          <w:rPr>
            <w:rFonts w:ascii="Times New Roman" w:eastAsia="Times New Roman" w:hAnsi="Times New Roman" w:cs="Times New Roman"/>
            <w:sz w:val="24"/>
            <w:szCs w:val="24"/>
            <w:lang w:val="ro-RO"/>
          </w:rPr>
          <w:t>phenobarbital</w:t>
        </w:r>
      </w:hyperlink>
      <w:r w:rsidRPr="00FF5E27">
        <w:rPr>
          <w:rFonts w:ascii="Times New Roman" w:eastAsia="Times New Roman" w:hAnsi="Times New Roman" w:cs="Times New Roman"/>
          <w:sz w:val="24"/>
          <w:szCs w:val="24"/>
          <w:lang w:val="ro-RO"/>
        </w:rPr>
        <w:t xml:space="preserve">um, </w:t>
      </w:r>
      <w:hyperlink r:id="rId53" w:history="1">
        <w:r w:rsidRPr="00FF5E27">
          <w:rPr>
            <w:rFonts w:ascii="Times New Roman" w:eastAsia="Times New Roman" w:hAnsi="Times New Roman" w:cs="Times New Roman"/>
            <w:sz w:val="24"/>
            <w:szCs w:val="24"/>
            <w:lang w:val="ro-RO"/>
          </w:rPr>
          <w:t>Oxcarbazepinum</w:t>
        </w:r>
      </w:hyperlink>
      <w:r w:rsidRPr="00FF5E27">
        <w:rPr>
          <w:rFonts w:ascii="Times New Roman" w:eastAsia="Times New Roman" w:hAnsi="Times New Roman" w:cs="Times New Roman"/>
          <w:sz w:val="24"/>
          <w:szCs w:val="24"/>
          <w:lang w:val="ro-RO"/>
        </w:rPr>
        <w:t xml:space="preserve"> sau </w:t>
      </w:r>
      <w:hyperlink r:id="rId54" w:history="1">
        <w:r w:rsidRPr="00FF5E27">
          <w:rPr>
            <w:rFonts w:ascii="Times New Roman" w:eastAsia="Times New Roman" w:hAnsi="Times New Roman" w:cs="Times New Roman"/>
            <w:sz w:val="24"/>
            <w:szCs w:val="24"/>
            <w:lang w:val="ro-RO"/>
          </w:rPr>
          <w:t>tipranavir</w:t>
        </w:r>
      </w:hyperlink>
      <w:r w:rsidRPr="00FF5E27">
        <w:rPr>
          <w:rFonts w:ascii="Times New Roman" w:eastAsia="Times New Roman" w:hAnsi="Times New Roman" w:cs="Times New Roman"/>
          <w:sz w:val="24"/>
          <w:szCs w:val="24"/>
          <w:lang w:val="ro-RO"/>
        </w:rPr>
        <w:t>um +</w:t>
      </w:r>
      <w:hyperlink r:id="rId55" w:history="1">
        <w:r w:rsidRPr="00FF5E27">
          <w:rPr>
            <w:rFonts w:ascii="Times New Roman" w:eastAsia="Times New Roman" w:hAnsi="Times New Roman" w:cs="Times New Roman"/>
            <w:sz w:val="24"/>
            <w:szCs w:val="24"/>
            <w:lang w:val="ro-RO"/>
          </w:rPr>
          <w:t>ritonavir</w:t>
        </w:r>
      </w:hyperlink>
      <w:r w:rsidRPr="00FF5E27">
        <w:rPr>
          <w:rFonts w:ascii="Times New Roman" w:eastAsia="Times New Roman" w:hAnsi="Times New Roman" w:cs="Times New Roman"/>
          <w:sz w:val="24"/>
          <w:szCs w:val="24"/>
          <w:lang w:val="ro-RO"/>
        </w:rPr>
        <w:t>um.</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sz w:val="24"/>
          <w:szCs w:val="24"/>
          <w:lang w:val="ro-RO"/>
        </w:rPr>
        <w:t xml:space="preserve">De asemenea, nu este recomandată administrarea concomitentă cu </w:t>
      </w:r>
      <w:hyperlink r:id="rId56" w:history="1">
        <w:r w:rsidRPr="00FF5E27">
          <w:rPr>
            <w:rFonts w:ascii="Times New Roman" w:eastAsia="Times New Roman" w:hAnsi="Times New Roman" w:cs="Times New Roman"/>
            <w:sz w:val="24"/>
            <w:szCs w:val="24"/>
            <w:u w:val="single"/>
            <w:lang w:val="ro-RO"/>
          </w:rPr>
          <w:t>efavirenz</w:t>
        </w:r>
      </w:hyperlink>
      <w:r w:rsidRPr="00FF5E27">
        <w:rPr>
          <w:rFonts w:ascii="Times New Roman" w:eastAsia="Times New Roman" w:hAnsi="Times New Roman" w:cs="Times New Roman"/>
          <w:sz w:val="24"/>
          <w:szCs w:val="24"/>
          <w:lang w:val="ro-RO"/>
        </w:rPr>
        <w:t xml:space="preserve"> , care</w:t>
      </w:r>
      <w:r w:rsidRPr="00FF5E27">
        <w:rPr>
          <w:rFonts w:ascii="Times New Roman" w:eastAsia="Times New Roman" w:hAnsi="Times New Roman" w:cs="Times New Roman"/>
          <w:color w:val="232323"/>
          <w:sz w:val="24"/>
          <w:szCs w:val="24"/>
          <w:lang w:val="ro-RO"/>
        </w:rPr>
        <w:t xml:space="preserve"> scade nivelurile de velpatasvirum*. În plus, ca inhibitor al P-gp, velpatasvirum* poate crește absorbția substraturilor P-gp.</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Nivelurile crescute ale pH-ului gastric scad absorbția velpatasvirum*; astfel, administrarea concomitentă cu inhibitori ai pompei de protoni este în mod ideal evitată. Dacă este necesar un inhibitor al pompei de protoni, acestea pot fi administrate concomitent, dar este important să urmați instrucțiunile producătorului: </w:t>
      </w:r>
      <w:hyperlink r:id="rId57" w:history="1">
        <w:r w:rsidRPr="00FF5E27">
          <w:rPr>
            <w:rFonts w:ascii="Times New Roman" w:eastAsia="Times New Roman" w:hAnsi="Times New Roman" w:cs="Times New Roman"/>
            <w:sz w:val="24"/>
            <w:szCs w:val="24"/>
            <w:lang w:val="ro-RO"/>
          </w:rPr>
          <w:t>sofosbuvirum 400 mg+ velpatasvir</w:t>
        </w:r>
      </w:hyperlink>
      <w:r w:rsidRPr="00FF5E27">
        <w:rPr>
          <w:rFonts w:ascii="Times New Roman" w:eastAsia="Times New Roman" w:hAnsi="Times New Roman" w:cs="Times New Roman"/>
          <w:sz w:val="24"/>
          <w:szCs w:val="24"/>
          <w:lang w:val="ro-RO"/>
        </w:rPr>
        <w:t>um* 100 mg</w:t>
      </w:r>
      <w:r w:rsidRPr="00FF5E27">
        <w:rPr>
          <w:rFonts w:ascii="Times New Roman" w:eastAsia="Times New Roman" w:hAnsi="Times New Roman" w:cs="Times New Roman"/>
          <w:color w:val="232323"/>
          <w:sz w:val="24"/>
          <w:szCs w:val="24"/>
          <w:lang w:val="ro-RO"/>
        </w:rPr>
        <w:t xml:space="preserve"> trebuie administrat cu alimente și administrat cu patru ore înainte de o</w:t>
      </w:r>
      <w:r w:rsidRPr="00FF5E27">
        <w:rPr>
          <w:rFonts w:ascii="Times New Roman" w:eastAsia="Times New Roman" w:hAnsi="Times New Roman" w:cs="Times New Roman"/>
          <w:sz w:val="24"/>
          <w:szCs w:val="24"/>
          <w:lang w:val="ro-RO"/>
        </w:rPr>
        <w:t xml:space="preserve">meprazolum </w:t>
      </w:r>
      <w:r w:rsidRPr="00FF5E27">
        <w:rPr>
          <w:rFonts w:ascii="Times New Roman" w:eastAsia="Times New Roman" w:hAnsi="Times New Roman" w:cs="Times New Roman"/>
          <w:color w:val="232323"/>
          <w:sz w:val="24"/>
          <w:szCs w:val="24"/>
          <w:lang w:val="ro-RO"/>
        </w:rPr>
        <w:t>20 mg (alți inhibitori ai pompei de protoni nu au fost studiați).</w:t>
      </w:r>
    </w:p>
    <w:p w:rsidR="00FF5E27" w:rsidRPr="00FF5E27" w:rsidRDefault="00FF5E27" w:rsidP="00FF5E27">
      <w:pPr>
        <w:spacing w:before="100"/>
        <w:rPr>
          <w:rFonts w:ascii="Times New Roman" w:eastAsia="Times New Roman" w:hAnsi="Times New Roman" w:cs="Times New Roman"/>
          <w:color w:val="232323"/>
          <w:sz w:val="24"/>
          <w:szCs w:val="20"/>
          <w:lang w:val="ro-RO" w:eastAsia="ru-RU"/>
        </w:rPr>
      </w:pPr>
      <w:r w:rsidRPr="00FF5E27">
        <w:rPr>
          <w:rFonts w:ascii="Times New Roman" w:eastAsia="Times New Roman" w:hAnsi="Times New Roman" w:cs="Times New Roman"/>
          <w:color w:val="232323"/>
          <w:sz w:val="24"/>
          <w:szCs w:val="20"/>
          <w:lang w:val="ro-RO" w:eastAsia="ru-RU"/>
        </w:rPr>
        <w:t xml:space="preserve">Niciun medicament care nu trebuie utilizat cu </w:t>
      </w:r>
      <w:hyperlink r:id="rId58" w:history="1">
        <w:r w:rsidRPr="00FF5E27">
          <w:rPr>
            <w:rFonts w:ascii="Times New Roman" w:eastAsia="Times New Roman" w:hAnsi="Times New Roman" w:cs="Times New Roman"/>
            <w:sz w:val="24"/>
            <w:szCs w:val="20"/>
            <w:lang w:val="ro-RO" w:eastAsia="ru-RU"/>
          </w:rPr>
          <w:t>sofosbuvir</w:t>
        </w:r>
      </w:hyperlink>
      <w:r w:rsidRPr="00FF5E27">
        <w:rPr>
          <w:rFonts w:ascii="Times New Roman" w:eastAsia="Times New Roman" w:hAnsi="Times New Roman" w:cs="Times New Roman"/>
          <w:sz w:val="24"/>
          <w:szCs w:val="20"/>
          <w:lang w:val="ro-RO" w:eastAsia="ru-RU"/>
        </w:rPr>
        <w:t>um*</w:t>
      </w:r>
      <w:r w:rsidRPr="00FF5E27">
        <w:rPr>
          <w:rFonts w:ascii="Times New Roman" w:eastAsia="Times New Roman" w:hAnsi="Times New Roman" w:cs="Times New Roman"/>
          <w:color w:val="232323"/>
          <w:sz w:val="24"/>
          <w:szCs w:val="20"/>
          <w:lang w:val="ro-RO" w:eastAsia="ru-RU"/>
        </w:rPr>
        <w:t xml:space="preserve"> (cum ar fi </w:t>
      </w:r>
      <w:r w:rsidRPr="00FF5E27">
        <w:rPr>
          <w:rFonts w:ascii="Times New Roman" w:eastAsia="Times New Roman" w:hAnsi="Times New Roman" w:cs="Times New Roman"/>
          <w:b/>
          <w:i/>
          <w:sz w:val="24"/>
          <w:szCs w:val="20"/>
          <w:lang w:val="ro-RO" w:eastAsia="ru-RU"/>
        </w:rPr>
        <w:t>amiodaronum</w:t>
      </w:r>
      <w:r w:rsidRPr="00FF5E27">
        <w:rPr>
          <w:rFonts w:ascii="Times New Roman" w:eastAsia="Times New Roman" w:hAnsi="Times New Roman" w:cs="Times New Roman"/>
          <w:color w:val="232323"/>
          <w:sz w:val="24"/>
          <w:szCs w:val="20"/>
          <w:lang w:val="ro-RO" w:eastAsia="ru-RU"/>
        </w:rPr>
        <w:t xml:space="preserve">), nu trebuie utilizat împreună cu </w:t>
      </w:r>
      <w:hyperlink r:id="rId59" w:history="1">
        <w:r w:rsidRPr="00FF5E27">
          <w:rPr>
            <w:rFonts w:ascii="Times New Roman" w:eastAsia="Times New Roman" w:hAnsi="Times New Roman" w:cs="Times New Roman"/>
            <w:sz w:val="24"/>
            <w:szCs w:val="20"/>
            <w:lang w:val="ro-RO" w:eastAsia="ru-RU"/>
          </w:rPr>
          <w:t>sofosbuvirum 400 mg+ velpatasvir</w:t>
        </w:r>
      </w:hyperlink>
      <w:r w:rsidRPr="00FF5E27">
        <w:rPr>
          <w:rFonts w:ascii="Times New Roman" w:eastAsia="Times New Roman" w:hAnsi="Times New Roman" w:cs="Times New Roman"/>
          <w:sz w:val="24"/>
          <w:szCs w:val="20"/>
          <w:lang w:val="ro-RO" w:eastAsia="ru-RU"/>
        </w:rPr>
        <w:t>um* 100 mg</w:t>
      </w:r>
      <w:r w:rsidRPr="00FF5E27">
        <w:rPr>
          <w:rFonts w:ascii="Times New Roman" w:eastAsia="Times New Roman" w:hAnsi="Times New Roman" w:cs="Times New Roman"/>
          <w:color w:val="232323"/>
          <w:sz w:val="24"/>
          <w:szCs w:val="20"/>
          <w:lang w:val="ro-RO" w:eastAsia="ru-RU"/>
        </w:rPr>
        <w:t xml:space="preserve">. Pentru alte interacțiuni medicamentoase specifice, consultați programul </w:t>
      </w:r>
      <w:hyperlink r:id="rId60" w:history="1">
        <w:r w:rsidRPr="00FF5E27">
          <w:rPr>
            <w:rFonts w:ascii="Times New Roman" w:eastAsia="Times New Roman" w:hAnsi="Times New Roman" w:cs="Times New Roman"/>
            <w:sz w:val="24"/>
            <w:szCs w:val="20"/>
            <w:lang w:val="ro-RO" w:eastAsia="ru-RU"/>
          </w:rPr>
          <w:t>de interacțiuni medicamentoase</w:t>
        </w:r>
        <w:r w:rsidRPr="00FF5E27">
          <w:rPr>
            <w:rFonts w:ascii="Times New Roman" w:eastAsia="Times New Roman" w:hAnsi="Times New Roman" w:cs="Times New Roman"/>
            <w:color w:val="005B92"/>
            <w:sz w:val="24"/>
            <w:szCs w:val="20"/>
            <w:lang w:val="ro-RO" w:eastAsia="ru-RU"/>
          </w:rPr>
          <w:t>.</w:t>
        </w:r>
        <w:r w:rsidRPr="00FF5E27">
          <w:rPr>
            <w:rFonts w:ascii="Times New Roman" w:eastAsia="Times New Roman" w:hAnsi="Times New Roman" w:cs="Times New Roman"/>
            <w:color w:val="005B92"/>
            <w:sz w:val="24"/>
            <w:szCs w:val="20"/>
            <w:u w:val="single"/>
            <w:lang w:val="ro-RO" w:eastAsia="ru-RU"/>
          </w:rPr>
          <w:t xml:space="preserve"> </w:t>
        </w:r>
      </w:hyperlink>
    </w:p>
    <w:p w:rsidR="00FF5E27" w:rsidRPr="00FF5E27" w:rsidRDefault="00FF5E27" w:rsidP="00FF5E27">
      <w:pPr>
        <w:shd w:val="clear" w:color="auto" w:fill="FFFFFF"/>
        <w:spacing w:after="0" w:line="240" w:lineRule="auto"/>
        <w:jc w:val="both"/>
        <w:rPr>
          <w:rFonts w:ascii="Times New Roman" w:eastAsia="Times New Roman" w:hAnsi="Times New Roman" w:cs="Times New Roman"/>
          <w:b/>
          <w:bCs/>
          <w:color w:val="232323"/>
          <w:sz w:val="24"/>
          <w:szCs w:val="24"/>
          <w:shd w:val="clear" w:color="auto" w:fill="FFFFFF"/>
          <w:lang w:val="ro-RO"/>
        </w:rPr>
      </w:pPr>
      <w:r w:rsidRPr="00FF5E27">
        <w:rPr>
          <w:rFonts w:ascii="Times New Roman" w:eastAsia="Times New Roman" w:hAnsi="Times New Roman" w:cs="Times New Roman"/>
          <w:b/>
          <w:bCs/>
          <w:color w:val="232323"/>
          <w:sz w:val="24"/>
          <w:szCs w:val="24"/>
          <w:shd w:val="clear" w:color="auto" w:fill="FFFFFF"/>
          <w:lang w:val="ro-RO"/>
        </w:rPr>
        <w:t>Tabelul 1</w:t>
      </w:r>
      <w:r w:rsidR="00955272">
        <w:rPr>
          <w:rFonts w:ascii="Times New Roman" w:eastAsia="Times New Roman" w:hAnsi="Times New Roman" w:cs="Times New Roman"/>
          <w:b/>
          <w:bCs/>
          <w:color w:val="232323"/>
          <w:sz w:val="24"/>
          <w:szCs w:val="24"/>
          <w:shd w:val="clear" w:color="auto" w:fill="FFFFFF"/>
          <w:lang w:val="ro-RO"/>
        </w:rPr>
        <w:t>4</w:t>
      </w:r>
      <w:r w:rsidRPr="00FF5E27">
        <w:rPr>
          <w:rFonts w:ascii="Times New Roman" w:eastAsia="Times New Roman" w:hAnsi="Times New Roman" w:cs="Times New Roman"/>
          <w:b/>
          <w:bCs/>
          <w:color w:val="232323"/>
          <w:sz w:val="24"/>
          <w:szCs w:val="24"/>
          <w:shd w:val="clear" w:color="auto" w:fill="FFFFFF"/>
          <w:lang w:val="ro-RO"/>
        </w:rPr>
        <w:t>.</w:t>
      </w:r>
      <w:r w:rsidRPr="00FF5E27">
        <w:rPr>
          <w:rFonts w:ascii="Times New Roman" w:eastAsia="Times New Roman" w:hAnsi="Times New Roman" w:cs="Times New Roman"/>
          <w:color w:val="232323"/>
          <w:sz w:val="24"/>
          <w:szCs w:val="24"/>
          <w:shd w:val="clear" w:color="auto" w:fill="FFFFFF"/>
          <w:lang w:val="ro-RO"/>
        </w:rPr>
        <w:t xml:space="preserve"> </w:t>
      </w:r>
      <w:r w:rsidRPr="00FF5E27">
        <w:rPr>
          <w:rFonts w:ascii="Times New Roman" w:eastAsia="Times New Roman" w:hAnsi="Times New Roman" w:cs="Times New Roman"/>
          <w:b/>
          <w:bCs/>
          <w:color w:val="232323"/>
          <w:sz w:val="24"/>
          <w:szCs w:val="24"/>
          <w:shd w:val="clear" w:color="auto" w:fill="FFFFFF"/>
          <w:lang w:val="ro-RO"/>
        </w:rPr>
        <w:t xml:space="preserve">Regimul pangenotipic </w:t>
      </w:r>
      <w:hyperlink r:id="rId61" w:history="1">
        <w:r w:rsidRPr="00FF5E27">
          <w:rPr>
            <w:rFonts w:ascii="Times New Roman" w:eastAsia="Times New Roman" w:hAnsi="Times New Roman" w:cs="Times New Roman"/>
            <w:b/>
            <w:bCs/>
            <w:sz w:val="24"/>
            <w:szCs w:val="24"/>
            <w:shd w:val="clear" w:color="auto" w:fill="FFFFFF"/>
            <w:lang w:val="ro-RO"/>
          </w:rPr>
          <w:t>sofosbuvirum/velpatasvirum/voxilaprevir</w:t>
        </w:r>
      </w:hyperlink>
      <w:r w:rsidRPr="00FF5E27">
        <w:rPr>
          <w:rFonts w:ascii="Times New Roman" w:eastAsia="Times New Roman" w:hAnsi="Times New Roman" w:cs="Times New Roman"/>
          <w:b/>
          <w:bCs/>
          <w:sz w:val="24"/>
          <w:szCs w:val="24"/>
          <w:lang w:val="ro-RO"/>
        </w:rPr>
        <w:t>um*</w:t>
      </w:r>
      <w:r w:rsidRPr="00FF5E27">
        <w:rPr>
          <w:rFonts w:ascii="Times New Roman" w:eastAsia="Times New Roman" w:hAnsi="Times New Roman" w:cs="Times New Roman"/>
          <w:color w:val="232323"/>
          <w:sz w:val="24"/>
          <w:szCs w:val="24"/>
          <w:shd w:val="clear" w:color="auto" w:fill="FFFFFF"/>
          <w:lang w:val="ro-RO"/>
        </w:rPr>
        <w:t xml:space="preserve"> </w:t>
      </w:r>
      <w:r w:rsidRPr="00FF5E27">
        <w:rPr>
          <w:rFonts w:ascii="Times New Roman" w:eastAsia="Times New Roman" w:hAnsi="Times New Roman" w:cs="Times New Roman"/>
          <w:b/>
          <w:bCs/>
          <w:color w:val="232323"/>
          <w:sz w:val="24"/>
          <w:szCs w:val="24"/>
          <w:shd w:val="clear" w:color="auto" w:fill="FFFFFF"/>
          <w:lang w:val="ro-RO"/>
        </w:rPr>
        <w:t xml:space="preserve">pentru tratamentul infecției cronice cu VHC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636"/>
      </w:tblGrid>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 xml:space="preserve">Indicații de tratament al infecției cronice cu VHC cu regimul pangenotipic </w:t>
            </w:r>
            <w:r w:rsidRPr="00FF5E27">
              <w:rPr>
                <w:rFonts w:ascii="Times New Roman" w:eastAsia="Times New Roman" w:hAnsi="Times New Roman" w:cs="Times New Roman"/>
                <w:color w:val="232323"/>
                <w:sz w:val="24"/>
                <w:szCs w:val="24"/>
                <w:shd w:val="clear" w:color="auto" w:fill="FFFFFF"/>
                <w:lang w:val="ro-RO" w:eastAsia="ru-RU"/>
              </w:rPr>
              <w:t>sofosbuvirum + velpatasvirum + voxilaprevirum*</w:t>
            </w:r>
          </w:p>
        </w:tc>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Posologia</w:t>
            </w:r>
          </w:p>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Sofosbuvirum 400 mg+ Velpatasvirum 100 mg+ Voxilaprevirum* 100 mg</w:t>
            </w:r>
          </w:p>
        </w:tc>
      </w:tr>
      <w:tr w:rsidR="00FF5E27" w:rsidRPr="00FF5E27"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Tratament naiv, genotip 3 cu ciroză compensată și substituție Y93H asociată rezistenței NS5A la valoarea inițială pentru velpatasvirum* (agent alternativ):</w:t>
            </w:r>
          </w:p>
        </w:tc>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oral: </w:t>
            </w:r>
            <w:r w:rsidRPr="00FF5E27">
              <w:rPr>
                <w:rFonts w:ascii="Times New Roman" w:eastAsia="Times New Roman" w:hAnsi="Times New Roman" w:cs="Times New Roman"/>
                <w:color w:val="232323"/>
                <w:sz w:val="24"/>
                <w:szCs w:val="24"/>
                <w:shd w:val="clear" w:color="auto" w:fill="FFFFFF"/>
                <w:lang w:val="ro-RO" w:eastAsia="ru-RU"/>
              </w:rPr>
              <w:t>1 comprimat, o dată pe zi timp de 12 săpt. IDSA (AASLD) 2023).</w:t>
            </w:r>
          </w:p>
        </w:tc>
      </w:tr>
      <w:tr w:rsidR="00FF5E27" w:rsidRPr="00D645AA" w:rsidTr="00FF5E27">
        <w:trPr>
          <w:trHeight w:val="630"/>
        </w:trPr>
        <w:tc>
          <w:tcPr>
            <w:tcW w:w="9350" w:type="dxa"/>
            <w:gridSpan w:val="2"/>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Pacienți cu experiență în tratament (toate genotipurile) fără ciroză sau cu ciroză compensată:</w:t>
            </w:r>
          </w:p>
        </w:tc>
      </w:tr>
      <w:tr w:rsidR="00FF5E27" w:rsidRPr="00D645AA" w:rsidTr="00FF5E27">
        <w:tc>
          <w:tcPr>
            <w:tcW w:w="4675"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Eșecuri ale tratamentului pe bază de sofosbuvirum*:</w:t>
            </w:r>
          </w:p>
        </w:tc>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oral: </w:t>
            </w:r>
            <w:r w:rsidRPr="00FF5E27">
              <w:rPr>
                <w:rFonts w:ascii="Times New Roman" w:eastAsia="Times New Roman" w:hAnsi="Times New Roman" w:cs="Times New Roman"/>
                <w:color w:val="232323"/>
                <w:sz w:val="24"/>
                <w:szCs w:val="24"/>
                <w:shd w:val="clear" w:color="auto" w:fill="FFFFFF"/>
                <w:lang w:val="ro-RO" w:eastAsia="ru-RU"/>
              </w:rPr>
              <w:t>1 comprimat, o dată pe zi, timp de 12 săpt.; pentru pacienții cu genotip 3 și ciroză compensată, utilizarea în asociere cu ribavirinum* bazată pe greutate dacă nu este contraindicată (AASLD/IDSA 2023).</w:t>
            </w:r>
          </w:p>
        </w:tc>
      </w:tr>
      <w:tr w:rsidR="00FF5E27" w:rsidRPr="00FF5E27" w:rsidTr="00FF5E27">
        <w:tc>
          <w:tcPr>
            <w:tcW w:w="4675"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Eșecuri ale tratamentului pe bază de Elbasvirum*/grazoprevirum*</w:t>
            </w:r>
          </w:p>
        </w:tc>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oral: </w:t>
            </w:r>
            <w:r w:rsidRPr="00FF5E27">
              <w:rPr>
                <w:rFonts w:ascii="Times New Roman" w:eastAsia="Times New Roman" w:hAnsi="Times New Roman" w:cs="Times New Roman"/>
                <w:color w:val="232323"/>
                <w:sz w:val="24"/>
                <w:szCs w:val="24"/>
                <w:shd w:val="clear" w:color="auto" w:fill="FFFFFF"/>
                <w:lang w:val="ro-RO" w:eastAsia="ru-RU"/>
              </w:rPr>
              <w:t>1 comprimat, o dată pe zi timp de 12 săpt. (AASLD/IDSA 2023).</w:t>
            </w:r>
          </w:p>
        </w:tc>
      </w:tr>
      <w:tr w:rsidR="00FF5E27" w:rsidRPr="00D645AA" w:rsidTr="00FF5E27">
        <w:tc>
          <w:tcPr>
            <w:tcW w:w="4675"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Eșecuri ale tratamentului cu glecaprevirum + pibrentasvirum*:</w:t>
            </w:r>
          </w:p>
        </w:tc>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oral: </w:t>
            </w:r>
            <w:r w:rsidRPr="00FF5E27">
              <w:rPr>
                <w:rFonts w:ascii="Times New Roman" w:eastAsia="Times New Roman" w:hAnsi="Times New Roman" w:cs="Times New Roman"/>
                <w:color w:val="232323"/>
                <w:sz w:val="24"/>
                <w:szCs w:val="24"/>
                <w:shd w:val="clear" w:color="auto" w:fill="FFFFFF"/>
                <w:lang w:val="ro-RO" w:eastAsia="ru-RU"/>
              </w:rPr>
              <w:t>1 comprimat, o dată pe zi timp de 12 săpt.; pentru pacienții cu ciroză compensată, utilizarea în asociere cu ribavirinum* bazată pe greutate dacă nu este contraindicată (AASLD/IDSA 2023).</w:t>
            </w:r>
          </w:p>
        </w:tc>
      </w:tr>
      <w:tr w:rsidR="00FF5E27" w:rsidRPr="00FF5E27" w:rsidTr="00FF5E27">
        <w:tc>
          <w:tcPr>
            <w:tcW w:w="4675"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Eșecuri multiple ale tratamentului antiviral cu acțiune directă, inclusiv sofosbuvirum 400 mg + velpatasvirum 100 mg + voxilaprevirum* 100 mg sau sofosbuvirum* 400 mg plus glecaprevirum 100 mg+ pibrentasvirum* 40 mg</w:t>
            </w:r>
          </w:p>
        </w:tc>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oral:</w:t>
            </w:r>
            <w:r w:rsidRPr="00FF5E27">
              <w:rPr>
                <w:rFonts w:ascii="Times New Roman" w:eastAsia="Times New Roman" w:hAnsi="Times New Roman" w:cs="Times New Roman"/>
                <w:color w:val="232323"/>
                <w:sz w:val="24"/>
                <w:szCs w:val="24"/>
                <w:shd w:val="clear" w:color="auto" w:fill="FFFFFF"/>
                <w:lang w:val="ro-RO" w:eastAsia="ru-RU"/>
              </w:rPr>
              <w:t xml:space="preserve"> 1 comprimat, o dată pe zi în combinație cu ribavirinum* bazată pe greutate pentru 24 săpt. (AASLD/IDSA 2023).</w:t>
            </w:r>
          </w:p>
        </w:tc>
      </w:tr>
      <w:tr w:rsidR="00FF5E27" w:rsidRPr="00D645AA" w:rsidTr="00FF5E27">
        <w:tc>
          <w:tcPr>
            <w:tcW w:w="9350" w:type="dxa"/>
            <w:gridSpan w:val="2"/>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Hepatită virală C cronică, post transplant</w:t>
            </w:r>
          </w:p>
        </w:tc>
      </w:tr>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Hepatită virală C cronică, post transplant (rinichi, ficat) (utilizare </w:t>
            </w:r>
            <w:r w:rsidRPr="00FF5E27">
              <w:rPr>
                <w:rFonts w:ascii="Times New Roman" w:eastAsia="Times New Roman" w:hAnsi="Times New Roman" w:cs="Times New Roman"/>
                <w:i/>
                <w:iCs/>
                <w:color w:val="232323"/>
                <w:sz w:val="24"/>
                <w:szCs w:val="24"/>
                <w:shd w:val="clear" w:color="auto" w:fill="FFFFFF"/>
                <w:lang w:val="ro-RO" w:eastAsia="ru-RU"/>
              </w:rPr>
              <w:t>off-label</w:t>
            </w:r>
            <w:r w:rsidRPr="00FF5E27">
              <w:rPr>
                <w:rFonts w:ascii="Times New Roman" w:eastAsia="Times New Roman" w:hAnsi="Times New Roman" w:cs="Times New Roman"/>
                <w:color w:val="232323"/>
                <w:sz w:val="24"/>
                <w:szCs w:val="24"/>
                <w:shd w:val="clear" w:color="auto" w:fill="FFFFFF"/>
                <w:lang w:val="ro-RO" w:eastAsia="ru-RU"/>
              </w:rPr>
              <w:t xml:space="preserve">)*: </w:t>
            </w:r>
          </w:p>
        </w:tc>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oral:</w:t>
            </w:r>
            <w:r w:rsidRPr="00FF5E27">
              <w:rPr>
                <w:rFonts w:ascii="Times New Roman" w:eastAsia="Times New Roman" w:hAnsi="Times New Roman" w:cs="Times New Roman"/>
                <w:color w:val="232323"/>
                <w:sz w:val="24"/>
                <w:szCs w:val="24"/>
                <w:shd w:val="clear" w:color="auto" w:fill="FFFFFF"/>
                <w:lang w:val="ro-RO" w:eastAsia="ru-RU"/>
              </w:rPr>
              <w:t xml:space="preserve"> 1 comprimat, o dată pe zi timp de 12 săpt.; pentru pacienții cu ciroză și cu </w:t>
            </w:r>
            <w:r w:rsidRPr="00FF5E27">
              <w:rPr>
                <w:rFonts w:ascii="Times New Roman" w:eastAsia="Times New Roman" w:hAnsi="Times New Roman" w:cs="Times New Roman"/>
                <w:color w:val="232323"/>
                <w:sz w:val="24"/>
                <w:szCs w:val="24"/>
                <w:shd w:val="clear" w:color="auto" w:fill="FFFFFF"/>
                <w:lang w:val="ro-RO" w:eastAsia="ru-RU"/>
              </w:rPr>
              <w:lastRenderedPageBreak/>
              <w:t>caracteristici inițiale negative multiple (de exemplu, tratament experimentat, genotip 3, prezența carcinomului hepatocelular), luați în considerare utilizarea în asociere cu ribavirinum* (AASLD/IDSA 2023).</w:t>
            </w:r>
          </w:p>
        </w:tc>
      </w:tr>
    </w:tbl>
    <w:p w:rsidR="00FF5E27" w:rsidRPr="00FF5E27" w:rsidRDefault="00FF5E27" w:rsidP="00FF5E27">
      <w:pPr>
        <w:spacing w:after="0" w:line="240" w:lineRule="auto"/>
        <w:ind w:left="360"/>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i/>
          <w:iCs/>
          <w:color w:val="232323"/>
          <w:sz w:val="24"/>
          <w:szCs w:val="24"/>
          <w:lang w:val="ro-RO" w:eastAsia="ru-RU"/>
        </w:rPr>
        <w:lastRenderedPageBreak/>
        <w:t>Notă:</w:t>
      </w:r>
      <w:r w:rsidRPr="00FF5E27">
        <w:rPr>
          <w:rFonts w:ascii="Times New Roman" w:eastAsia="Times New Roman" w:hAnsi="Times New Roman" w:cs="Times New Roman"/>
          <w:color w:val="232323"/>
          <w:sz w:val="24"/>
          <w:szCs w:val="24"/>
          <w:lang w:val="ro-RO" w:eastAsia="ru-RU"/>
        </w:rPr>
        <w:t xml:space="preserve"> </w:t>
      </w:r>
    </w:p>
    <w:p w:rsidR="00FF5E27" w:rsidRPr="00FF5E27" w:rsidRDefault="00FF5E27" w:rsidP="00461D8F">
      <w:pPr>
        <w:numPr>
          <w:ilvl w:val="0"/>
          <w:numId w:val="69"/>
        </w:numPr>
        <w:shd w:val="clear" w:color="auto" w:fill="FFFFFF"/>
        <w:spacing w:before="100" w:after="0" w:line="240" w:lineRule="auto"/>
        <w:ind w:left="720"/>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shd w:val="clear" w:color="auto" w:fill="FFFFFF"/>
          <w:lang w:val="ro-RO"/>
        </w:rPr>
        <w:t xml:space="preserve">Această combinație adaugă inhibitorul NS3/4A voxilaprevirum la inhibitorul NS5B </w:t>
      </w:r>
      <w:hyperlink r:id="rId62" w:history="1">
        <w:r w:rsidRPr="00FF5E27">
          <w:rPr>
            <w:rFonts w:ascii="Times New Roman" w:eastAsia="Times New Roman" w:hAnsi="Times New Roman" w:cs="Times New Roman"/>
            <w:sz w:val="24"/>
            <w:szCs w:val="24"/>
            <w:shd w:val="clear" w:color="auto" w:fill="FFFFFF"/>
            <w:lang w:val="ro-RO"/>
          </w:rPr>
          <w:t>sofosbuvir</w:t>
        </w:r>
      </w:hyperlink>
      <w:r w:rsidRPr="00FF5E27">
        <w:rPr>
          <w:rFonts w:ascii="Times New Roman" w:eastAsia="Times New Roman" w:hAnsi="Times New Roman" w:cs="Times New Roman"/>
          <w:sz w:val="24"/>
          <w:szCs w:val="24"/>
          <w:lang w:val="ro-RO"/>
        </w:rPr>
        <w:t>um</w:t>
      </w:r>
      <w:r w:rsidRPr="00FF5E27">
        <w:rPr>
          <w:rFonts w:ascii="Times New Roman" w:eastAsia="Times New Roman" w:hAnsi="Times New Roman" w:cs="Times New Roman"/>
          <w:color w:val="232323"/>
          <w:sz w:val="24"/>
          <w:szCs w:val="24"/>
          <w:shd w:val="clear" w:color="auto" w:fill="FFFFFF"/>
          <w:lang w:val="ro-RO"/>
        </w:rPr>
        <w:t xml:space="preserve"> și inhibitorul NS5A velpatasvirum*. Acest regim este pangenotipic și este rezervat în principal pacienților care au eșec anterior asupra regimurilor DAA (și predominant care conțin inhibitor NS5A).</w:t>
      </w:r>
    </w:p>
    <w:p w:rsidR="00FF5E27" w:rsidRPr="00FF5E27" w:rsidRDefault="00FF5E27" w:rsidP="00461D8F">
      <w:pPr>
        <w:numPr>
          <w:ilvl w:val="0"/>
          <w:numId w:val="69"/>
        </w:numPr>
        <w:shd w:val="clear" w:color="auto" w:fill="FFFFFF"/>
        <w:spacing w:before="100" w:after="0" w:line="240" w:lineRule="auto"/>
        <w:ind w:left="720"/>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Comprimatul combinat constă din 400 mg </w:t>
      </w:r>
      <w:hyperlink r:id="rId63" w:history="1">
        <w:r w:rsidRPr="00FF5E27">
          <w:rPr>
            <w:rFonts w:ascii="Times New Roman" w:eastAsia="Times New Roman" w:hAnsi="Times New Roman" w:cs="Times New Roman"/>
            <w:sz w:val="24"/>
            <w:szCs w:val="24"/>
            <w:lang w:val="ro-RO"/>
          </w:rPr>
          <w:t>sofosbuvir</w:t>
        </w:r>
      </w:hyperlink>
      <w:r w:rsidRPr="00FF5E27">
        <w:rPr>
          <w:rFonts w:ascii="Times New Roman" w:eastAsia="Times New Roman" w:hAnsi="Times New Roman" w:cs="Times New Roman"/>
          <w:sz w:val="24"/>
          <w:szCs w:val="24"/>
          <w:lang w:val="ro-RO"/>
        </w:rPr>
        <w:t>um</w:t>
      </w:r>
      <w:r w:rsidRPr="00FF5E27">
        <w:rPr>
          <w:rFonts w:ascii="Times New Roman" w:eastAsia="Times New Roman" w:hAnsi="Times New Roman" w:cs="Times New Roman"/>
          <w:color w:val="232323"/>
          <w:sz w:val="24"/>
          <w:szCs w:val="24"/>
          <w:lang w:val="ro-RO"/>
        </w:rPr>
        <w:t>, 100 mg Velpatasvirum și 100 mg voxilaprevirum* și se administrează o dată pe zi cu alimente.</w:t>
      </w:r>
    </w:p>
    <w:p w:rsidR="00FF5E27" w:rsidRPr="00FF5E27" w:rsidRDefault="00FF5E27" w:rsidP="00461D8F">
      <w:pPr>
        <w:numPr>
          <w:ilvl w:val="0"/>
          <w:numId w:val="69"/>
        </w:numPr>
        <w:shd w:val="clear" w:color="auto" w:fill="FFFFFF"/>
        <w:spacing w:before="100" w:after="0" w:line="240" w:lineRule="auto"/>
        <w:ind w:left="720"/>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Nu se justifică ajustarea dozei pentru insuficiența renală (inclusiv pacienții dializați) sau în cazul insuficienței hepatice ușoare (Child Pugh Clasa A). Acest regim nu este recomandat la pacienții cu insuficiență hepatică moderată sau severă (Child-Pugh B sau C) din cauza expunerilor mai mari la voxilaprevirum observate la acești pacienți. </w:t>
      </w:r>
    </w:p>
    <w:p w:rsidR="00FF5E27" w:rsidRPr="00FF5E27" w:rsidRDefault="00FF5E27" w:rsidP="00461D8F">
      <w:pPr>
        <w:numPr>
          <w:ilvl w:val="0"/>
          <w:numId w:val="69"/>
        </w:numPr>
        <w:shd w:val="clear" w:color="auto" w:fill="FFFFFF"/>
        <w:spacing w:before="100" w:after="0" w:line="240" w:lineRule="auto"/>
        <w:ind w:left="720"/>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353535"/>
          <w:sz w:val="24"/>
          <w:szCs w:val="24"/>
          <w:bdr w:val="none" w:sz="0" w:space="0" w:color="auto" w:frame="1"/>
          <w:lang w:val="ro-RO" w:eastAsia="ru-RU"/>
        </w:rPr>
        <w:t>Dozare: Insuficiență renală: Adult</w:t>
      </w:r>
    </w:p>
    <w:p w:rsidR="00FF5E27" w:rsidRPr="00FF5E27" w:rsidRDefault="00FF5E27" w:rsidP="00461D8F">
      <w:pPr>
        <w:numPr>
          <w:ilvl w:val="0"/>
          <w:numId w:val="82"/>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Insuficiență ușoară, moderată sau severă: nu este necesară ajustarea dozei.</w:t>
      </w:r>
    </w:p>
    <w:p w:rsidR="00FF5E27" w:rsidRPr="00FF5E27" w:rsidRDefault="00FF5E27" w:rsidP="00461D8F">
      <w:pPr>
        <w:numPr>
          <w:ilvl w:val="0"/>
          <w:numId w:val="82"/>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Boală renală în stadiu terminal care necesită hemodializă: nu este necesară ajustarea dozei.</w:t>
      </w:r>
    </w:p>
    <w:p w:rsidR="00FF5E27" w:rsidRPr="00FF5E27" w:rsidRDefault="00FF5E27" w:rsidP="00461D8F">
      <w:pPr>
        <w:numPr>
          <w:ilvl w:val="0"/>
          <w:numId w:val="69"/>
        </w:numPr>
        <w:shd w:val="clear" w:color="auto" w:fill="FFFFFF"/>
        <w:spacing w:before="100" w:after="0" w:line="240" w:lineRule="auto"/>
        <w:ind w:left="720"/>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353535"/>
          <w:sz w:val="24"/>
          <w:szCs w:val="24"/>
          <w:bdr w:val="none" w:sz="0" w:space="0" w:color="auto" w:frame="1"/>
          <w:lang w:val="ro-RO" w:eastAsia="ru-RU"/>
        </w:rPr>
        <w:t>Dozare: Insuficiență hepatică: Adult</w:t>
      </w:r>
    </w:p>
    <w:p w:rsidR="00FF5E27" w:rsidRPr="00FF5E27" w:rsidRDefault="00FF5E27" w:rsidP="00461D8F">
      <w:pPr>
        <w:numPr>
          <w:ilvl w:val="0"/>
          <w:numId w:val="83"/>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i/>
          <w:iCs/>
          <w:color w:val="232323"/>
          <w:sz w:val="24"/>
          <w:szCs w:val="24"/>
          <w:lang w:val="ro-RO" w:eastAsia="ru-RU"/>
        </w:rPr>
        <w:t>Insuficiență hepatică înainte de inițierea tratamentului:</w:t>
      </w:r>
    </w:p>
    <w:p w:rsidR="00FF5E27" w:rsidRPr="00FF5E27" w:rsidRDefault="00FF5E27" w:rsidP="00461D8F">
      <w:pPr>
        <w:numPr>
          <w:ilvl w:val="0"/>
          <w:numId w:val="83"/>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Insuficiență ușoară (clasa Child-Pugh A): Nu este necesară ajustarea dozei.</w:t>
      </w:r>
    </w:p>
    <w:p w:rsidR="00FF5E27" w:rsidRPr="00FF5E27" w:rsidRDefault="00FF5E27" w:rsidP="00461D8F">
      <w:pPr>
        <w:numPr>
          <w:ilvl w:val="0"/>
          <w:numId w:val="83"/>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Insuficiență moderată sau severă (clasa Child-Pugh B sau C): Utilizarea nu este recomandată (din cauza expunerii mai mari la voxilaprevirum).</w:t>
      </w:r>
    </w:p>
    <w:p w:rsidR="00FF5E27" w:rsidRPr="00FF5E27" w:rsidRDefault="00FF5E27" w:rsidP="00FF5E27">
      <w:pPr>
        <w:shd w:val="clear" w:color="auto" w:fill="FFFFFF"/>
        <w:spacing w:after="0" w:line="240" w:lineRule="auto"/>
        <w:ind w:left="360"/>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i/>
          <w:iCs/>
          <w:color w:val="232323"/>
          <w:sz w:val="24"/>
          <w:szCs w:val="24"/>
          <w:lang w:val="ro-RO" w:eastAsia="ru-RU"/>
        </w:rPr>
        <w:t>Hepatotoxicitate în timpul tratamentului:</w:t>
      </w:r>
    </w:p>
    <w:p w:rsidR="00FF5E27" w:rsidRPr="00FF5E27" w:rsidRDefault="00FF5E27" w:rsidP="00461D8F">
      <w:pPr>
        <w:numPr>
          <w:ilvl w:val="0"/>
          <w:numId w:val="84"/>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Creșteri asimptomatice ale ALT &lt;10 ori: monitorizați îndeaproape cu repetarea testelor la fiecare 2 săptămâni. Dacă creșterea persistentă rămâne, luați în considerare oprirea terapiei (AASLD/IDSA 2021).</w:t>
      </w:r>
    </w:p>
    <w:p w:rsidR="00FF5E27" w:rsidRPr="00FF5E27" w:rsidRDefault="00FF5E27" w:rsidP="00461D8F">
      <w:pPr>
        <w:numPr>
          <w:ilvl w:val="0"/>
          <w:numId w:val="84"/>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Creștere &lt;10 ori a ALT față de valoarea inițială cu slăbiciune, greață, vărsături, icter sau creștere semnificativă a bilirubinei, fosfatazei alcaline sau INR: întrerupeți administrarea antiviralelor cu acțiune directă (DAA) (AASLD/IDSA 2021).</w:t>
      </w:r>
    </w:p>
    <w:p w:rsidR="00FF5E27" w:rsidRPr="00FF5E27" w:rsidRDefault="00FF5E27" w:rsidP="00461D8F">
      <w:pPr>
        <w:numPr>
          <w:ilvl w:val="0"/>
          <w:numId w:val="84"/>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Creștere ≥10 ori a ALT față de valoarea inițială în orice moment în timpul tratamentului: întrerupeți terapia DAA, în special cu semne și simptome de inflamație hepatică sau creșterea bilirubinei conjugate, fosfatazei alcaline sau INR (AASLD/IDSA 2021).</w:t>
      </w:r>
    </w:p>
    <w:p w:rsidR="00FF5E27" w:rsidRPr="00FF5E27" w:rsidRDefault="00FF5E27" w:rsidP="00461D8F">
      <w:pPr>
        <w:numPr>
          <w:ilvl w:val="0"/>
          <w:numId w:val="69"/>
        </w:numPr>
        <w:shd w:val="clear" w:color="auto" w:fill="FFFFFF"/>
        <w:spacing w:before="100" w:after="0" w:line="240" w:lineRule="auto"/>
        <w:rPr>
          <w:rFonts w:ascii="Times New Roman" w:eastAsia="Times New Roman" w:hAnsi="Times New Roman" w:cs="Times New Roman"/>
          <w:sz w:val="24"/>
          <w:szCs w:val="24"/>
          <w:lang w:val="ro-RO"/>
        </w:rPr>
      </w:pPr>
      <w:r w:rsidRPr="00FF5E27">
        <w:rPr>
          <w:rFonts w:ascii="Times New Roman" w:eastAsia="Times New Roman" w:hAnsi="Times New Roman" w:cs="Times New Roman"/>
          <w:b/>
          <w:bCs/>
          <w:color w:val="232323"/>
          <w:sz w:val="24"/>
          <w:szCs w:val="24"/>
          <w:lang w:val="ro-RO"/>
        </w:rPr>
        <w:t>Interacțiuni medicamentoase</w:t>
      </w:r>
      <w:r w:rsidRPr="00FF5E27">
        <w:rPr>
          <w:rFonts w:ascii="Times New Roman" w:eastAsia="Times New Roman" w:hAnsi="Times New Roman" w:cs="Times New Roman"/>
          <w:color w:val="232323"/>
          <w:sz w:val="24"/>
          <w:szCs w:val="24"/>
          <w:lang w:val="ro-RO"/>
        </w:rPr>
        <w:t xml:space="preserve"> – Aceleași interacțiuni medicamentoase cu </w:t>
      </w:r>
      <w:hyperlink r:id="rId64" w:history="1">
        <w:r w:rsidRPr="00FF5E27">
          <w:rPr>
            <w:rFonts w:ascii="Times New Roman" w:eastAsia="Times New Roman" w:hAnsi="Times New Roman" w:cs="Times New Roman"/>
            <w:sz w:val="24"/>
            <w:szCs w:val="24"/>
            <w:lang w:val="ro-RO"/>
          </w:rPr>
          <w:t>sofosbuvirum+ velpatasvir</w:t>
        </w:r>
      </w:hyperlink>
      <w:r w:rsidRPr="00FF5E27">
        <w:rPr>
          <w:rFonts w:ascii="Times New Roman" w:eastAsia="Times New Roman" w:hAnsi="Times New Roman" w:cs="Times New Roman"/>
          <w:sz w:val="24"/>
          <w:szCs w:val="24"/>
          <w:lang w:val="ro-RO"/>
        </w:rPr>
        <w:t xml:space="preserve">um* se aplică și </w:t>
      </w:r>
      <w:hyperlink r:id="rId65" w:history="1">
        <w:r w:rsidRPr="00FF5E27">
          <w:rPr>
            <w:rFonts w:ascii="Times New Roman" w:eastAsia="Times New Roman" w:hAnsi="Times New Roman" w:cs="Times New Roman"/>
            <w:sz w:val="24"/>
            <w:szCs w:val="24"/>
            <w:lang w:val="ro-RO"/>
          </w:rPr>
          <w:t>sofosbuvirum+ velpatasvirum+ voxilaprevir</w:t>
        </w:r>
      </w:hyperlink>
      <w:r w:rsidRPr="00FF5E27">
        <w:rPr>
          <w:rFonts w:ascii="Times New Roman" w:eastAsia="Times New Roman" w:hAnsi="Times New Roman" w:cs="Times New Roman"/>
          <w:sz w:val="24"/>
          <w:szCs w:val="24"/>
          <w:lang w:val="ro-RO"/>
        </w:rPr>
        <w:t xml:space="preserve">um*. </w:t>
      </w:r>
      <w:hyperlink r:id="rId66" w:history="1">
        <w:r w:rsidRPr="00FF5E27">
          <w:rPr>
            <w:rFonts w:ascii="Times New Roman" w:eastAsia="Times New Roman" w:hAnsi="Times New Roman" w:cs="Times New Roman"/>
            <w:sz w:val="24"/>
            <w:szCs w:val="24"/>
            <w:lang w:val="ro-RO"/>
          </w:rPr>
          <w:t>În plus, administrarea concomitentă cu Rifampin</w:t>
        </w:r>
      </w:hyperlink>
      <w:r w:rsidRPr="00FF5E27">
        <w:rPr>
          <w:rFonts w:ascii="Times New Roman" w:eastAsia="Times New Roman" w:hAnsi="Times New Roman" w:cs="Times New Roman"/>
          <w:sz w:val="24"/>
          <w:szCs w:val="24"/>
          <w:lang w:val="ro-RO"/>
        </w:rPr>
        <w:t xml:space="preserve"> este contraindicată și nu este recomandată cu </w:t>
      </w:r>
      <w:hyperlink r:id="rId67" w:history="1">
        <w:r w:rsidRPr="00FF5E27">
          <w:rPr>
            <w:rFonts w:ascii="Times New Roman" w:eastAsia="Times New Roman" w:hAnsi="Times New Roman" w:cs="Times New Roman"/>
            <w:sz w:val="24"/>
            <w:szCs w:val="24"/>
            <w:lang w:val="ro-RO"/>
          </w:rPr>
          <w:t>atazanavir</w:t>
        </w:r>
      </w:hyperlink>
      <w:r w:rsidRPr="00FF5E27">
        <w:rPr>
          <w:rFonts w:ascii="Times New Roman" w:eastAsia="Times New Roman" w:hAnsi="Times New Roman" w:cs="Times New Roman"/>
          <w:sz w:val="24"/>
          <w:szCs w:val="24"/>
          <w:lang w:val="ro-RO"/>
        </w:rPr>
        <w:t xml:space="preserve">, lopinavir, anumite statine (rosuvastatinum și </w:t>
      </w:r>
      <w:hyperlink r:id="rId68" w:history="1">
        <w:r w:rsidRPr="00FF5E27">
          <w:rPr>
            <w:rFonts w:ascii="Times New Roman" w:eastAsia="Times New Roman" w:hAnsi="Times New Roman" w:cs="Times New Roman"/>
            <w:sz w:val="24"/>
            <w:szCs w:val="24"/>
            <w:lang w:val="ro-RO"/>
          </w:rPr>
          <w:t>pitavastatin</w:t>
        </w:r>
      </w:hyperlink>
      <w:r w:rsidRPr="00FF5E27">
        <w:rPr>
          <w:rFonts w:ascii="Times New Roman" w:eastAsia="Times New Roman" w:hAnsi="Times New Roman" w:cs="Times New Roman"/>
          <w:sz w:val="24"/>
          <w:szCs w:val="24"/>
          <w:lang w:val="ro-RO"/>
        </w:rPr>
        <w:t>um) și cyclosporinum.</w:t>
      </w:r>
    </w:p>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Pentru alte interacțiuni medicamentoase specifice, consultați programul </w:t>
      </w:r>
      <w:hyperlink r:id="rId69" w:history="1">
        <w:r w:rsidRPr="00FF5E27">
          <w:rPr>
            <w:rFonts w:ascii="Times New Roman" w:eastAsia="Times New Roman" w:hAnsi="Times New Roman" w:cs="Times New Roman"/>
            <w:sz w:val="24"/>
            <w:szCs w:val="24"/>
            <w:lang w:val="ro-RO" w:eastAsia="ru-RU"/>
          </w:rPr>
          <w:t xml:space="preserve">de interacțiuni medicamentoase </w:t>
        </w:r>
      </w:hyperlink>
    </w:p>
    <w:p w:rsidR="00FF5E27" w:rsidRPr="00FF5E27" w:rsidRDefault="00FF5E27" w:rsidP="00FF5E27">
      <w:pPr>
        <w:shd w:val="clear" w:color="auto" w:fill="FFFFFF"/>
        <w:spacing w:after="0" w:line="240" w:lineRule="auto"/>
        <w:rPr>
          <w:rFonts w:ascii="Times New Roman" w:eastAsia="Times New Roman" w:hAnsi="Times New Roman" w:cs="Times New Roman"/>
          <w:b/>
          <w:bCs/>
          <w:color w:val="232323"/>
          <w:sz w:val="24"/>
          <w:szCs w:val="24"/>
          <w:shd w:val="clear" w:color="auto" w:fill="FFFFFF"/>
          <w:lang w:val="ro-RO"/>
        </w:rPr>
      </w:pPr>
    </w:p>
    <w:p w:rsidR="00FF5E27" w:rsidRPr="00FF5E27" w:rsidRDefault="00FF5E27" w:rsidP="00FF5E27">
      <w:pPr>
        <w:shd w:val="clear" w:color="auto" w:fill="FFFFFF"/>
        <w:spacing w:after="0" w:line="240" w:lineRule="auto"/>
        <w:rPr>
          <w:rFonts w:ascii="Times New Roman" w:eastAsia="Times New Roman" w:hAnsi="Times New Roman" w:cs="Times New Roman"/>
          <w:b/>
          <w:bCs/>
          <w:color w:val="232323"/>
          <w:sz w:val="24"/>
          <w:szCs w:val="24"/>
          <w:shd w:val="clear" w:color="auto" w:fill="FFFFFF"/>
          <w:lang w:val="ro-RO"/>
        </w:rPr>
      </w:pPr>
      <w:r w:rsidRPr="00FF5E27">
        <w:rPr>
          <w:rFonts w:ascii="Times New Roman" w:eastAsia="Times New Roman" w:hAnsi="Times New Roman" w:cs="Times New Roman"/>
          <w:b/>
          <w:bCs/>
          <w:color w:val="232323"/>
          <w:sz w:val="24"/>
          <w:szCs w:val="24"/>
          <w:shd w:val="clear" w:color="auto" w:fill="FFFFFF"/>
          <w:lang w:val="ro-RO"/>
        </w:rPr>
        <w:t xml:space="preserve">Tabelul </w:t>
      </w:r>
      <w:r w:rsidR="00955272">
        <w:rPr>
          <w:rFonts w:ascii="Times New Roman" w:eastAsia="Times New Roman" w:hAnsi="Times New Roman" w:cs="Times New Roman"/>
          <w:b/>
          <w:bCs/>
          <w:color w:val="232323"/>
          <w:sz w:val="24"/>
          <w:szCs w:val="24"/>
          <w:shd w:val="clear" w:color="auto" w:fill="FFFFFF"/>
          <w:lang w:val="ro-RO"/>
        </w:rPr>
        <w:t>15</w:t>
      </w:r>
      <w:r w:rsidRPr="00FF5E27">
        <w:rPr>
          <w:rFonts w:ascii="Times New Roman" w:eastAsia="Times New Roman" w:hAnsi="Times New Roman" w:cs="Times New Roman"/>
          <w:b/>
          <w:bCs/>
          <w:color w:val="232323"/>
          <w:sz w:val="24"/>
          <w:szCs w:val="24"/>
          <w:shd w:val="clear" w:color="auto" w:fill="FFFFFF"/>
          <w:lang w:val="ro-RO"/>
        </w:rPr>
        <w:t>.</w:t>
      </w:r>
      <w:r w:rsidRPr="00FF5E27">
        <w:rPr>
          <w:rFonts w:ascii="Times New Roman" w:eastAsia="Times New Roman" w:hAnsi="Times New Roman" w:cs="Times New Roman"/>
          <w:color w:val="232323"/>
          <w:sz w:val="24"/>
          <w:szCs w:val="24"/>
          <w:shd w:val="clear" w:color="auto" w:fill="FFFFFF"/>
          <w:lang w:val="ro-RO"/>
        </w:rPr>
        <w:t xml:space="preserve"> </w:t>
      </w:r>
      <w:r w:rsidRPr="00FF5E27">
        <w:rPr>
          <w:rFonts w:ascii="Times New Roman" w:eastAsia="Times New Roman" w:hAnsi="Times New Roman" w:cs="Times New Roman"/>
          <w:b/>
          <w:bCs/>
          <w:color w:val="232323"/>
          <w:sz w:val="24"/>
          <w:szCs w:val="24"/>
          <w:shd w:val="clear" w:color="auto" w:fill="FFFFFF"/>
          <w:lang w:val="ro-RO"/>
        </w:rPr>
        <w:t xml:space="preserve">Regimul pangenotipic </w:t>
      </w:r>
      <w:hyperlink r:id="rId70" w:history="1">
        <w:r w:rsidRPr="00FF5E27">
          <w:rPr>
            <w:rFonts w:ascii="Times New Roman" w:eastAsia="Times New Roman" w:hAnsi="Times New Roman" w:cs="Times New Roman"/>
            <w:b/>
            <w:bCs/>
            <w:sz w:val="24"/>
            <w:szCs w:val="24"/>
            <w:shd w:val="clear" w:color="auto" w:fill="FFFFFF"/>
            <w:lang w:val="ro-RO"/>
          </w:rPr>
          <w:t>Glecaprevirum*/pibrentasvir</w:t>
        </w:r>
      </w:hyperlink>
      <w:r w:rsidRPr="00FF5E27">
        <w:rPr>
          <w:rFonts w:ascii="Times New Roman" w:eastAsia="Times New Roman" w:hAnsi="Times New Roman" w:cs="Times New Roman"/>
          <w:b/>
          <w:bCs/>
          <w:sz w:val="24"/>
          <w:szCs w:val="24"/>
          <w:lang w:val="ro-RO"/>
        </w:rPr>
        <w:t>um</w:t>
      </w:r>
      <w:r w:rsidRPr="00FF5E27">
        <w:rPr>
          <w:rFonts w:ascii="Times New Roman" w:eastAsia="Times New Roman" w:hAnsi="Times New Roman" w:cs="Times New Roman"/>
          <w:b/>
          <w:bCs/>
          <w:sz w:val="24"/>
          <w:szCs w:val="24"/>
          <w:shd w:val="clear" w:color="auto" w:fill="FFFFFF"/>
          <w:lang w:val="ro-RO"/>
        </w:rPr>
        <w:t xml:space="preserve"> </w:t>
      </w:r>
      <w:r w:rsidRPr="00FF5E27">
        <w:rPr>
          <w:rFonts w:ascii="Times New Roman" w:eastAsia="Times New Roman" w:hAnsi="Times New Roman" w:cs="Times New Roman"/>
          <w:b/>
          <w:bCs/>
          <w:color w:val="232323"/>
          <w:sz w:val="24"/>
          <w:szCs w:val="24"/>
          <w:shd w:val="clear" w:color="auto" w:fill="FFFFFF"/>
          <w:lang w:val="ro-RO"/>
        </w:rPr>
        <w:t xml:space="preserve">pentru tratamentul infecției cronice cu VHC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800"/>
      </w:tblGrid>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Indicații de tratament al infecției cronice cu VHC cu regimul pangenotipic g</w:t>
            </w:r>
            <w:r w:rsidRPr="00FF5E27">
              <w:rPr>
                <w:rFonts w:ascii="Times New Roman" w:eastAsia="Times New Roman" w:hAnsi="Times New Roman" w:cs="Times New Roman"/>
                <w:b/>
                <w:bCs/>
                <w:color w:val="232323"/>
                <w:sz w:val="24"/>
                <w:szCs w:val="24"/>
                <w:shd w:val="clear" w:color="auto" w:fill="FFFFFF"/>
                <w:lang w:val="ro-RO" w:eastAsia="ru-RU"/>
              </w:rPr>
              <w:t xml:space="preserve">lecaprevirum*+pibrentasvirum </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Posologia</w:t>
            </w:r>
          </w:p>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Comprimatul combinat este format din glecaprevirum 100 mg+ pibrentasvirum* 40 </w:t>
            </w:r>
            <w:r w:rsidRPr="00FF5E27">
              <w:rPr>
                <w:rFonts w:ascii="Times New Roman" w:eastAsia="Times New Roman" w:hAnsi="Times New Roman" w:cs="Times New Roman"/>
                <w:color w:val="232323"/>
                <w:sz w:val="24"/>
                <w:szCs w:val="24"/>
                <w:shd w:val="clear" w:color="auto" w:fill="FFFFFF"/>
                <w:lang w:val="ro-RO" w:eastAsia="ru-RU"/>
              </w:rPr>
              <w:lastRenderedPageBreak/>
              <w:t>mg</w:t>
            </w:r>
          </w:p>
        </w:tc>
      </w:tr>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i/>
                <w:iCs/>
                <w:color w:val="232323"/>
                <w:sz w:val="24"/>
                <w:szCs w:val="24"/>
                <w:shd w:val="clear" w:color="auto" w:fill="FFFFFF"/>
                <w:lang w:val="ro-RO" w:eastAsia="ru-RU"/>
              </w:rPr>
              <w:lastRenderedPageBreak/>
              <w:t xml:space="preserve">Pacienți naivi la tratament fără ciroză sau cu ciroză compensate, </w:t>
            </w:r>
            <w:r w:rsidRPr="00FF5E27">
              <w:rPr>
                <w:rFonts w:ascii="Times New Roman" w:eastAsia="Times New Roman" w:hAnsi="Times New Roman" w:cs="Times New Roman"/>
                <w:color w:val="232323"/>
                <w:sz w:val="24"/>
                <w:szCs w:val="24"/>
                <w:shd w:val="clear" w:color="auto" w:fill="FFFFFF"/>
                <w:lang w:val="ro-RO" w:eastAsia="ru-RU"/>
              </w:rPr>
              <w:t>Genotipul 1, 2, 3, 4, 5 sau 6</w:t>
            </w:r>
            <w:r w:rsidRPr="00FF5E27">
              <w:rPr>
                <w:rFonts w:ascii="Times New Roman" w:eastAsia="Times New Roman" w:hAnsi="Times New Roman" w:cs="Times New Roman"/>
                <w:b/>
                <w:bCs/>
                <w:i/>
                <w:iCs/>
                <w:color w:val="232323"/>
                <w:sz w:val="24"/>
                <w:szCs w:val="24"/>
                <w:shd w:val="clear" w:color="auto" w:fill="FFFFFF"/>
                <w:lang w:val="ro-RO" w:eastAsia="ru-RU"/>
              </w:rPr>
              <w:t>:</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oral: </w:t>
            </w:r>
            <w:r w:rsidRPr="00FF5E27">
              <w:rPr>
                <w:rFonts w:ascii="Times New Roman" w:eastAsia="Times New Roman" w:hAnsi="Times New Roman" w:cs="Times New Roman"/>
                <w:color w:val="232323"/>
                <w:sz w:val="24"/>
                <w:szCs w:val="24"/>
                <w:shd w:val="clear" w:color="auto" w:fill="FFFFFF"/>
                <w:lang w:val="ro-RO" w:eastAsia="ru-RU"/>
              </w:rPr>
              <w:t xml:space="preserve">3 comprimate (glecaprevirum 100 mg+ pibrentasvirum* 40 mg </w:t>
            </w:r>
            <w:r w:rsidRPr="00FF5E27">
              <w:rPr>
                <w:rFonts w:ascii="Times New Roman" w:eastAsia="Times New Roman" w:hAnsi="Times New Roman" w:cs="Times New Roman"/>
                <w:b/>
                <w:bCs/>
                <w:color w:val="232323"/>
                <w:sz w:val="24"/>
                <w:szCs w:val="24"/>
                <w:shd w:val="clear" w:color="auto" w:fill="FFFFFF"/>
                <w:lang w:val="ro-RO" w:eastAsia="ru-RU"/>
              </w:rPr>
              <w:t>per comprimat</w:t>
            </w:r>
            <w:r w:rsidRPr="00FF5E27">
              <w:rPr>
                <w:rFonts w:ascii="Times New Roman" w:eastAsia="Times New Roman" w:hAnsi="Times New Roman" w:cs="Times New Roman"/>
                <w:color w:val="232323"/>
                <w:sz w:val="24"/>
                <w:szCs w:val="24"/>
                <w:shd w:val="clear" w:color="auto" w:fill="FFFFFF"/>
                <w:lang w:val="ro-RO" w:eastAsia="ru-RU"/>
              </w:rPr>
              <w:t>) o dată pe zi timp de 8 săptămâni.</w:t>
            </w:r>
          </w:p>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Notă: </w:t>
            </w:r>
            <w:r w:rsidRPr="00FF5E27">
              <w:rPr>
                <w:rFonts w:ascii="Times New Roman" w:eastAsia="Times New Roman" w:hAnsi="Times New Roman" w:cs="Times New Roman"/>
                <w:color w:val="232323"/>
                <w:sz w:val="24"/>
                <w:szCs w:val="24"/>
                <w:shd w:val="clear" w:color="auto" w:fill="FFFFFF"/>
                <w:lang w:val="ro-RO" w:eastAsia="ru-RU"/>
              </w:rPr>
              <w:t xml:space="preserve">Pentru pacienții coinfectaţi cu HIV/virusul hepatitei C (VHC) cu genotip 1, 2, 3 sau 4 </w:t>
            </w:r>
            <w:r w:rsidRPr="00FF5E27">
              <w:rPr>
                <w:rFonts w:ascii="Times New Roman" w:eastAsia="Times New Roman" w:hAnsi="Times New Roman" w:cs="Times New Roman"/>
                <w:b/>
                <w:bCs/>
                <w:color w:val="232323"/>
                <w:sz w:val="24"/>
                <w:szCs w:val="24"/>
                <w:shd w:val="clear" w:color="auto" w:fill="FFFFFF"/>
                <w:lang w:val="ro-RO" w:eastAsia="ru-RU"/>
              </w:rPr>
              <w:t xml:space="preserve">și </w:t>
            </w:r>
            <w:r w:rsidRPr="00FF5E27">
              <w:rPr>
                <w:rFonts w:ascii="Times New Roman" w:eastAsia="Times New Roman" w:hAnsi="Times New Roman" w:cs="Times New Roman"/>
                <w:color w:val="232323"/>
                <w:sz w:val="24"/>
                <w:szCs w:val="24"/>
                <w:shd w:val="clear" w:color="auto" w:fill="FFFFFF"/>
                <w:lang w:val="ro-RO" w:eastAsia="ru-RU"/>
              </w:rPr>
              <w:t xml:space="preserve">ciroză compensate </w:t>
            </w:r>
            <w:r w:rsidRPr="00FF5E27">
              <w:rPr>
                <w:rFonts w:ascii="Times New Roman" w:eastAsia="Times New Roman" w:hAnsi="Times New Roman" w:cs="Times New Roman"/>
                <w:b/>
                <w:bCs/>
                <w:color w:val="232323"/>
                <w:sz w:val="24"/>
                <w:szCs w:val="24"/>
                <w:shd w:val="clear" w:color="auto" w:fill="FFFFFF"/>
                <w:lang w:val="ro-RO" w:eastAsia="ru-RU"/>
              </w:rPr>
              <w:t xml:space="preserve">sau </w:t>
            </w:r>
            <w:r w:rsidRPr="00FF5E27">
              <w:rPr>
                <w:rFonts w:ascii="Times New Roman" w:eastAsia="Times New Roman" w:hAnsi="Times New Roman" w:cs="Times New Roman"/>
                <w:color w:val="232323"/>
                <w:sz w:val="24"/>
                <w:szCs w:val="24"/>
                <w:shd w:val="clear" w:color="auto" w:fill="FFFFFF"/>
                <w:lang w:val="ro-RO" w:eastAsia="ru-RU"/>
              </w:rPr>
              <w:t xml:space="preserve">genotip 5 sau 6 (fără ciroză sau cu ciroză compensată), se recomandă o durată de 12 săptămâni </w:t>
            </w:r>
          </w:p>
        </w:tc>
      </w:tr>
      <w:tr w:rsidR="00FF5E27" w:rsidRPr="00D645AA" w:rsidTr="00FF5E27">
        <w:tc>
          <w:tcPr>
            <w:tcW w:w="9350" w:type="dxa"/>
            <w:gridSpan w:val="2"/>
            <w:shd w:val="clear" w:color="auto" w:fill="auto"/>
          </w:tcPr>
          <w:p w:rsidR="00FF5E27" w:rsidRPr="00FF5E27" w:rsidRDefault="00FF5E27" w:rsidP="00FF5E27">
            <w:pPr>
              <w:spacing w:after="0" w:line="240" w:lineRule="auto"/>
              <w:rPr>
                <w:rFonts w:ascii="Times New Roman" w:eastAsia="Times New Roman" w:hAnsi="Times New Roman" w:cs="Times New Roman"/>
                <w:i/>
                <w:iCs/>
                <w:sz w:val="24"/>
                <w:szCs w:val="24"/>
                <w:lang w:val="ro-RO" w:eastAsia="ru-RU"/>
              </w:rPr>
            </w:pPr>
            <w:r w:rsidRPr="00FF5E27">
              <w:rPr>
                <w:rFonts w:ascii="Times New Roman" w:eastAsia="Times New Roman" w:hAnsi="Times New Roman" w:cs="Times New Roman"/>
                <w:b/>
                <w:bCs/>
                <w:i/>
                <w:iCs/>
                <w:color w:val="232323"/>
                <w:sz w:val="24"/>
                <w:szCs w:val="24"/>
                <w:shd w:val="clear" w:color="auto" w:fill="FFFFFF"/>
                <w:lang w:val="ro-RO" w:eastAsia="ru-RU"/>
              </w:rPr>
              <w:t>Pacienți cu experiență în tratament (toate genotipurile) fără ciroză sau cu ciroză compensată:</w:t>
            </w:r>
          </w:p>
        </w:tc>
      </w:tr>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Eșecuri ale tratamentului cu Glecaprevirum+ Pibrentasvirum*</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oral:</w:t>
            </w:r>
            <w:r w:rsidRPr="00FF5E27">
              <w:rPr>
                <w:rFonts w:ascii="Times New Roman" w:eastAsia="Times New Roman" w:hAnsi="Times New Roman" w:cs="Times New Roman"/>
                <w:color w:val="232323"/>
                <w:sz w:val="24"/>
                <w:szCs w:val="24"/>
                <w:shd w:val="clear" w:color="auto" w:fill="FFFFFF"/>
                <w:lang w:val="ro-RO" w:eastAsia="ru-RU"/>
              </w:rPr>
              <w:t xml:space="preserve"> 3 comprimate (glecaprevirum 100 mg+ pibrentasvirum* 40 mg </w:t>
            </w:r>
            <w:r w:rsidRPr="00FF5E27">
              <w:rPr>
                <w:rFonts w:ascii="Times New Roman" w:eastAsia="Times New Roman" w:hAnsi="Times New Roman" w:cs="Times New Roman"/>
                <w:b/>
                <w:bCs/>
                <w:color w:val="232323"/>
                <w:sz w:val="24"/>
                <w:szCs w:val="24"/>
                <w:shd w:val="clear" w:color="auto" w:fill="FFFFFF"/>
                <w:lang w:val="ro-RO" w:eastAsia="ru-RU"/>
              </w:rPr>
              <w:t>per comprimat</w:t>
            </w:r>
            <w:r w:rsidRPr="00FF5E27">
              <w:rPr>
                <w:rFonts w:ascii="Times New Roman" w:eastAsia="Times New Roman" w:hAnsi="Times New Roman" w:cs="Times New Roman"/>
                <w:color w:val="232323"/>
                <w:sz w:val="24"/>
                <w:szCs w:val="24"/>
                <w:shd w:val="clear" w:color="auto" w:fill="FFFFFF"/>
                <w:lang w:val="ro-RO" w:eastAsia="ru-RU"/>
              </w:rPr>
              <w:t xml:space="preserve"> ) o dată pe zi în asociere cu sofosbuvirum și ribavirinum* bazată pe greutate timp de 16 săptămâni </w:t>
            </w:r>
          </w:p>
        </w:tc>
      </w:tr>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Eșecuri multiple ale tratamentului antiviral cu acțiune directă, inclusiv sofosbuvirum+ velpatasvirum+ voxilaprevirum* sau sofosbuvirum plus glecaprevirum+ pibrentasvirum*:</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oral:</w:t>
            </w:r>
            <w:r w:rsidRPr="00FF5E27">
              <w:rPr>
                <w:rFonts w:ascii="Times New Roman" w:eastAsia="Times New Roman" w:hAnsi="Times New Roman" w:cs="Times New Roman"/>
                <w:color w:val="232323"/>
                <w:sz w:val="24"/>
                <w:szCs w:val="24"/>
                <w:shd w:val="clear" w:color="auto" w:fill="FFFFFF"/>
                <w:lang w:val="ro-RO" w:eastAsia="ru-RU"/>
              </w:rPr>
              <w:t xml:space="preserve"> 3 comprimate (glecaprevirum 100 mg+ pibrentasvirum* 40 mg </w:t>
            </w:r>
            <w:r w:rsidRPr="00FF5E27">
              <w:rPr>
                <w:rFonts w:ascii="Times New Roman" w:eastAsia="Times New Roman" w:hAnsi="Times New Roman" w:cs="Times New Roman"/>
                <w:b/>
                <w:bCs/>
                <w:color w:val="232323"/>
                <w:sz w:val="24"/>
                <w:szCs w:val="24"/>
                <w:shd w:val="clear" w:color="auto" w:fill="FFFFFF"/>
                <w:lang w:val="ro-RO" w:eastAsia="ru-RU"/>
              </w:rPr>
              <w:t>per comprimat</w:t>
            </w:r>
            <w:r w:rsidRPr="00FF5E27">
              <w:rPr>
                <w:rFonts w:ascii="Times New Roman" w:eastAsia="Times New Roman" w:hAnsi="Times New Roman" w:cs="Times New Roman"/>
                <w:color w:val="232323"/>
                <w:sz w:val="24"/>
                <w:szCs w:val="24"/>
                <w:shd w:val="clear" w:color="auto" w:fill="FFFFFF"/>
                <w:lang w:val="ro-RO" w:eastAsia="ru-RU"/>
              </w:rPr>
              <w:t xml:space="preserve"> ) o dată pe zi în combinație cu sofosbuvirum 400 mg și ribavirinum* bazată pe greutate timp de 16 săptămâni ; poate prelungi tratamentul la 24 de săptămâni în cazuri dificile (de exemplu, genotipul 3 cu ciroză sau insuficiență după sofosbuvirum plus glecaprevirum + pibrentasvirum*) </w:t>
            </w:r>
          </w:p>
        </w:tc>
      </w:tr>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Eșecuri ale tratamentului pe bază de sofosbuvirum* (agent alternativ): </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oral: </w:t>
            </w:r>
            <w:r w:rsidRPr="00FF5E27">
              <w:rPr>
                <w:rFonts w:ascii="Times New Roman" w:eastAsia="Times New Roman" w:hAnsi="Times New Roman" w:cs="Times New Roman"/>
                <w:color w:val="232323"/>
                <w:sz w:val="24"/>
                <w:szCs w:val="24"/>
                <w:shd w:val="clear" w:color="auto" w:fill="FFFFFF"/>
                <w:lang w:val="ro-RO" w:eastAsia="ru-RU"/>
              </w:rPr>
              <w:t xml:space="preserve">3 comprimate (glecaprevirum 100 mg+ pibrentasvirum* 40 mg </w:t>
            </w:r>
            <w:r w:rsidRPr="00FF5E27">
              <w:rPr>
                <w:rFonts w:ascii="Times New Roman" w:eastAsia="Times New Roman" w:hAnsi="Times New Roman" w:cs="Times New Roman"/>
                <w:b/>
                <w:bCs/>
                <w:color w:val="232323"/>
                <w:sz w:val="24"/>
                <w:szCs w:val="24"/>
                <w:shd w:val="clear" w:color="auto" w:fill="FFFFFF"/>
                <w:lang w:val="ro-RO" w:eastAsia="ru-RU"/>
              </w:rPr>
              <w:t xml:space="preserve">per comprimat </w:t>
            </w:r>
            <w:r w:rsidRPr="00FF5E27">
              <w:rPr>
                <w:rFonts w:ascii="Times New Roman" w:eastAsia="Times New Roman" w:hAnsi="Times New Roman" w:cs="Times New Roman"/>
                <w:color w:val="232323"/>
                <w:sz w:val="24"/>
                <w:szCs w:val="24"/>
                <w:shd w:val="clear" w:color="auto" w:fill="FFFFFF"/>
                <w:lang w:val="ro-RO" w:eastAsia="ru-RU"/>
              </w:rPr>
              <w:t xml:space="preserve">) o dată pe zi timp de 16 săptămâni. </w:t>
            </w:r>
            <w:r w:rsidRPr="00FF5E27">
              <w:rPr>
                <w:rFonts w:ascii="Times New Roman" w:eastAsia="Times New Roman" w:hAnsi="Times New Roman" w:cs="Times New Roman"/>
                <w:b/>
                <w:bCs/>
                <w:color w:val="232323"/>
                <w:sz w:val="24"/>
                <w:szCs w:val="24"/>
                <w:shd w:val="clear" w:color="auto" w:fill="FFFFFF"/>
                <w:lang w:val="ro-RO" w:eastAsia="ru-RU"/>
              </w:rPr>
              <w:t xml:space="preserve">Notă: </w:t>
            </w:r>
            <w:r w:rsidRPr="00FF5E27">
              <w:rPr>
                <w:rFonts w:ascii="Times New Roman" w:eastAsia="Times New Roman" w:hAnsi="Times New Roman" w:cs="Times New Roman"/>
                <w:color w:val="232323"/>
                <w:sz w:val="24"/>
                <w:szCs w:val="24"/>
                <w:shd w:val="clear" w:color="auto" w:fill="FFFFFF"/>
                <w:lang w:val="ro-RO" w:eastAsia="ru-RU"/>
              </w:rPr>
              <w:t>Nu este recomandat pentru pacienții cu expunere anterioară la un inhibitor NS5A plus un regim de inhibitor de protează NS3/4 (de exemplu, elbasvirum + grazoprevirum*) sau pentru infecția de genotip 3 cu experiență cu sofosbuvirum*+ inhibitor NS5A.</w:t>
            </w:r>
          </w:p>
        </w:tc>
      </w:tr>
      <w:tr w:rsidR="00FF5E27" w:rsidRPr="00D645AA" w:rsidTr="00FF5E27">
        <w:trPr>
          <w:trHeight w:val="983"/>
        </w:trPr>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lang w:val="ro-RO" w:eastAsia="ru-RU"/>
              </w:rPr>
              <w:t>Hepatita C, cronică, posttransplant (rinichi, ficat):</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shd w:val="clear" w:color="auto" w:fill="FFFFFF"/>
                <w:lang w:val="ro-RO" w:eastAsia="ru-RU"/>
              </w:rPr>
            </w:pPr>
            <w:r w:rsidRPr="00FF5E27">
              <w:rPr>
                <w:rFonts w:ascii="Times New Roman" w:eastAsia="Times New Roman" w:hAnsi="Times New Roman" w:cs="Times New Roman"/>
                <w:b/>
                <w:bCs/>
                <w:color w:val="232323"/>
                <w:sz w:val="24"/>
                <w:szCs w:val="24"/>
                <w:lang w:val="ro-RO" w:eastAsia="ru-RU"/>
              </w:rPr>
              <w:t>Notă:</w:t>
            </w:r>
            <w:r w:rsidRPr="00FF5E27">
              <w:rPr>
                <w:rFonts w:ascii="Times New Roman" w:eastAsia="Times New Roman" w:hAnsi="Times New Roman" w:cs="Times New Roman"/>
                <w:color w:val="232323"/>
                <w:sz w:val="24"/>
                <w:szCs w:val="24"/>
                <w:lang w:val="ro-RO" w:eastAsia="ru-RU"/>
              </w:rPr>
              <w:t xml:space="preserve"> Nu este recomandat pentru utilizare în tratamentul antiviral cu acțiune directă – primitorii cu experiență de transplant de rinichi sau ficat.</w:t>
            </w:r>
          </w:p>
        </w:tc>
      </w:tr>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Pentru pacienții fără VHC care sunt primitori de organe de la donatori </w:t>
            </w:r>
            <w:r w:rsidRPr="00FF5E27">
              <w:rPr>
                <w:rFonts w:ascii="Times New Roman" w:eastAsia="Times New Roman" w:hAnsi="Times New Roman" w:cs="Times New Roman"/>
                <w:b/>
                <w:bCs/>
                <w:color w:val="232323"/>
                <w:sz w:val="24"/>
                <w:szCs w:val="24"/>
                <w:shd w:val="clear" w:color="auto" w:fill="FFFFFF"/>
                <w:lang w:val="ro-RO" w:eastAsia="ru-RU"/>
              </w:rPr>
              <w:t xml:space="preserve">– donatori viremici </w:t>
            </w:r>
            <w:r w:rsidRPr="00FF5E27">
              <w:rPr>
                <w:rFonts w:ascii="Times New Roman" w:eastAsia="Times New Roman" w:hAnsi="Times New Roman" w:cs="Times New Roman"/>
                <w:color w:val="232323"/>
                <w:sz w:val="24"/>
                <w:szCs w:val="24"/>
                <w:shd w:val="clear" w:color="auto" w:fill="FFFFFF"/>
                <w:lang w:val="ro-RO" w:eastAsia="ru-RU"/>
              </w:rPr>
              <w:t xml:space="preserve">cu VHC </w:t>
            </w:r>
            <w:r w:rsidRPr="00FF5E27">
              <w:rPr>
                <w:rFonts w:ascii="Times New Roman" w:eastAsia="Times New Roman" w:hAnsi="Times New Roman" w:cs="Times New Roman"/>
                <w:b/>
                <w:bCs/>
                <w:color w:val="232323"/>
                <w:sz w:val="24"/>
                <w:szCs w:val="24"/>
                <w:shd w:val="clear" w:color="auto" w:fill="FFFFFF"/>
                <w:lang w:val="ro-RO" w:eastAsia="ru-RU"/>
              </w:rPr>
              <w:t>(utilizare off-label):</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Oral:</w:t>
            </w:r>
            <w:r w:rsidRPr="00FF5E27">
              <w:rPr>
                <w:rFonts w:ascii="Times New Roman" w:eastAsia="Times New Roman" w:hAnsi="Times New Roman" w:cs="Times New Roman"/>
                <w:color w:val="232323"/>
                <w:sz w:val="24"/>
                <w:szCs w:val="24"/>
                <w:shd w:val="clear" w:color="auto" w:fill="FFFFFF"/>
                <w:lang w:val="ro-RO" w:eastAsia="ru-RU"/>
              </w:rPr>
              <w:t xml:space="preserve"> 3 comprimate (glecaprevirum 100 mg+ pibrentasvirum* 40 mg </w:t>
            </w:r>
            <w:r w:rsidRPr="00FF5E27">
              <w:rPr>
                <w:rFonts w:ascii="Times New Roman" w:eastAsia="Times New Roman" w:hAnsi="Times New Roman" w:cs="Times New Roman"/>
                <w:b/>
                <w:bCs/>
                <w:color w:val="232323"/>
                <w:sz w:val="24"/>
                <w:szCs w:val="24"/>
                <w:shd w:val="clear" w:color="auto" w:fill="FFFFFF"/>
                <w:lang w:val="ro-RO" w:eastAsia="ru-RU"/>
              </w:rPr>
              <w:t>per comprimat</w:t>
            </w:r>
            <w:r w:rsidRPr="00FF5E27">
              <w:rPr>
                <w:rFonts w:ascii="Times New Roman" w:eastAsia="Times New Roman" w:hAnsi="Times New Roman" w:cs="Times New Roman"/>
                <w:color w:val="232323"/>
                <w:sz w:val="24"/>
                <w:szCs w:val="24"/>
                <w:shd w:val="clear" w:color="auto" w:fill="FFFFFF"/>
                <w:lang w:val="ro-RO" w:eastAsia="ru-RU"/>
              </w:rPr>
              <w:t xml:space="preserve"> ) o dată pe zi timp de 8 săptămâni (organe nonhepatice) sau 12 săptămâni (alogrefe hepatice); dacă inițierea tratamentului este întârziată dincolo de prima săptămână posttransplant de organe nonhepatice, extindeți tratamentul la 12 săptămâni sau pentru primitorii de alogrefe hepatice.</w:t>
            </w:r>
          </w:p>
        </w:tc>
      </w:tr>
    </w:tbl>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i/>
          <w:iCs/>
          <w:color w:val="232323"/>
          <w:sz w:val="24"/>
          <w:szCs w:val="24"/>
          <w:lang w:val="ro-RO" w:eastAsia="ru-RU"/>
        </w:rPr>
        <w:t>Notă:</w:t>
      </w:r>
      <w:r w:rsidRPr="00FF5E27">
        <w:rPr>
          <w:rFonts w:ascii="Times New Roman" w:eastAsia="Times New Roman" w:hAnsi="Times New Roman" w:cs="Times New Roman"/>
          <w:color w:val="232323"/>
          <w:sz w:val="24"/>
          <w:szCs w:val="24"/>
          <w:lang w:val="ro-RO" w:eastAsia="ru-RU"/>
        </w:rPr>
        <w:t xml:space="preserve"> </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lastRenderedPageBreak/>
        <w:t xml:space="preserve">Inhibitorul de protează NS3/4A glecaprevirum* și inhibitorul NS5A pibrentasvirum sunt coformulați într-o singură tabletă. Comprimatul combinat este format din glecaprevirum* 100 mg și pibrentasvirum 40 mg. Doza zilnică constă în trei comprimate luate în același timp, administrate cu alimente. Regimul este pangenotipic și are o barieră ridicată împotriva rezistenței. </w:t>
      </w:r>
    </w:p>
    <w:p w:rsidR="00FF5E27" w:rsidRPr="00FF5E27" w:rsidRDefault="00875399"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hyperlink r:id="rId71" w:history="1">
        <w:r w:rsidR="00FF5E27" w:rsidRPr="00FF5E27">
          <w:rPr>
            <w:rFonts w:ascii="Times New Roman" w:eastAsia="Times New Roman" w:hAnsi="Times New Roman" w:cs="Times New Roman"/>
            <w:sz w:val="24"/>
            <w:szCs w:val="24"/>
            <w:shd w:val="clear" w:color="auto" w:fill="FFFFFF"/>
            <w:lang w:val="ro-RO" w:eastAsia="ru-RU"/>
          </w:rPr>
          <w:t>Glecaprevirum*+pibrentasvir</w:t>
        </w:r>
      </w:hyperlink>
      <w:r w:rsidR="00FF5E27" w:rsidRPr="00FF5E27">
        <w:rPr>
          <w:rFonts w:ascii="Times New Roman" w:eastAsia="Times New Roman" w:hAnsi="Times New Roman" w:cs="Times New Roman"/>
          <w:sz w:val="24"/>
          <w:szCs w:val="24"/>
          <w:lang w:val="ro-RO" w:eastAsia="ru-RU"/>
        </w:rPr>
        <w:t>um</w:t>
      </w:r>
      <w:r w:rsidR="00FF5E27" w:rsidRPr="00FF5E27">
        <w:rPr>
          <w:rFonts w:ascii="Times New Roman" w:eastAsia="Times New Roman" w:hAnsi="Times New Roman" w:cs="Times New Roman"/>
          <w:color w:val="232323"/>
          <w:sz w:val="24"/>
          <w:szCs w:val="24"/>
          <w:shd w:val="clear" w:color="auto" w:fill="FFFFFF"/>
          <w:lang w:val="ro-RO" w:eastAsia="ru-RU"/>
        </w:rPr>
        <w:t xml:space="preserve"> poate fi utilizat la pacienții cu orice grad de insuficiență renală, inclusiv cei aflați pe dializă, fără a fi nevoie de modificări ale dozei. </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Regimul este contraindicat la pacienții cu ciroză decompensată (Child-Pugh clasa B sau C) din cauza riscului de agravare a funcției hepatice sau de insuficiență hepatică. Este în general sigur în rândul pacienților cu ciroză compensată (Child-Pugh clasa A) în ciuda creșterii de două ori a nivelurilor de glecaprevirum* la astfel de pacienți. Este important să ne asigurăm că boala hepatică nu este mai avansată.</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353535"/>
          <w:sz w:val="24"/>
          <w:szCs w:val="24"/>
          <w:bdr w:val="none" w:sz="0" w:space="0" w:color="auto" w:frame="1"/>
          <w:lang w:val="ro-RO" w:eastAsia="ru-RU"/>
        </w:rPr>
        <w:t>Dozare: Insuficiență renală: Adult</w:t>
      </w:r>
    </w:p>
    <w:p w:rsidR="00FF5E27" w:rsidRPr="00FF5E27" w:rsidRDefault="00FF5E27" w:rsidP="00461D8F">
      <w:pPr>
        <w:numPr>
          <w:ilvl w:val="0"/>
          <w:numId w:val="84"/>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Nu este necesară ajustarea dozei.</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353535"/>
          <w:sz w:val="24"/>
          <w:szCs w:val="24"/>
          <w:bdr w:val="none" w:sz="0" w:space="0" w:color="auto" w:frame="1"/>
          <w:lang w:val="ro-RO" w:eastAsia="ru-RU"/>
        </w:rPr>
        <w:t>Dozare: Insuficiență hepatică: Adult</w:t>
      </w:r>
    </w:p>
    <w:p w:rsidR="00FF5E27" w:rsidRPr="00FF5E27" w:rsidRDefault="00FF5E27" w:rsidP="00461D8F">
      <w:pPr>
        <w:numPr>
          <w:ilvl w:val="0"/>
          <w:numId w:val="84"/>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i/>
          <w:iCs/>
          <w:color w:val="232323"/>
          <w:sz w:val="24"/>
          <w:szCs w:val="24"/>
          <w:lang w:val="ro-RO" w:eastAsia="ru-RU"/>
        </w:rPr>
        <w:t>Insuficiență hepatică preexistentă:</w:t>
      </w:r>
    </w:p>
    <w:p w:rsidR="00FF5E27" w:rsidRPr="00FF5E27" w:rsidRDefault="00FF5E27" w:rsidP="00461D8F">
      <w:pPr>
        <w:numPr>
          <w:ilvl w:val="0"/>
          <w:numId w:val="85"/>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Insuficiență ușoară (clasa Child-Pugh A): Nu este necesară ajustarea dozei.</w:t>
      </w:r>
    </w:p>
    <w:p w:rsidR="00FF5E27" w:rsidRPr="00FF5E27" w:rsidRDefault="00FF5E27" w:rsidP="00461D8F">
      <w:pPr>
        <w:numPr>
          <w:ilvl w:val="0"/>
          <w:numId w:val="85"/>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Insuficiență moderată sau severă (clasa Child-Pugh B sau C): Utilizarea este contraindicată.</w:t>
      </w:r>
    </w:p>
    <w:p w:rsidR="00FF5E27" w:rsidRPr="00FF5E27" w:rsidRDefault="00FF5E27" w:rsidP="00461D8F">
      <w:pPr>
        <w:numPr>
          <w:ilvl w:val="0"/>
          <w:numId w:val="85"/>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Antecedente de decompensare hepatică: Utilizarea este contraindicată.</w:t>
      </w:r>
    </w:p>
    <w:p w:rsidR="00FF5E27" w:rsidRPr="00FF5E27" w:rsidRDefault="00FF5E27" w:rsidP="00461D8F">
      <w:pPr>
        <w:numPr>
          <w:ilvl w:val="0"/>
          <w:numId w:val="84"/>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i/>
          <w:iCs/>
          <w:color w:val="232323"/>
          <w:sz w:val="24"/>
          <w:szCs w:val="24"/>
          <w:lang w:val="ro-RO" w:eastAsia="ru-RU"/>
        </w:rPr>
        <w:t>Hepatotoxicitate în timpul tratamentului:</w:t>
      </w:r>
    </w:p>
    <w:p w:rsidR="00FF5E27" w:rsidRPr="00FF5E27" w:rsidRDefault="00FF5E27" w:rsidP="00461D8F">
      <w:pPr>
        <w:numPr>
          <w:ilvl w:val="0"/>
          <w:numId w:val="86"/>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Creșteri asimptomatice ale ALT &lt;10 ori: monitorizați îndeaproape cu repetarea testelor la fiecare 2 săptămâni. Dacă supraînălțarea persistă, luați în considerare oprirea terapiei Creștere &lt;10 ori a ALT față de valoarea inițială cu slăbiciune, greață, vărsături, icter sau creștere semnificativă a bilirubinei, fosfatazei alcaline sau INR: întrerupeți administrarea antiviralelor cu acțiune directă.</w:t>
      </w:r>
    </w:p>
    <w:p w:rsidR="00FF5E27" w:rsidRPr="00FF5E27" w:rsidRDefault="00FF5E27" w:rsidP="00461D8F">
      <w:pPr>
        <w:numPr>
          <w:ilvl w:val="0"/>
          <w:numId w:val="86"/>
        </w:numPr>
        <w:shd w:val="clear" w:color="auto" w:fill="FFFFFF"/>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Creștere ≥10 ori a ALT față de valoarea inițială în orice moment în timpul tratamentului: întrerupeți terapia antiviral cu acțiune directă, în special cu semne și simptome de inflamație hepatică sau creșterea bilirubinei conjugate, fosfatazei alcaline sau INR .</w:t>
      </w:r>
    </w:p>
    <w:p w:rsidR="00FF5E27" w:rsidRPr="00FF5E27" w:rsidRDefault="00FF5E27" w:rsidP="00461D8F">
      <w:pPr>
        <w:numPr>
          <w:ilvl w:val="0"/>
          <w:numId w:val="86"/>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b/>
          <w:bCs/>
          <w:color w:val="232323"/>
          <w:sz w:val="24"/>
          <w:szCs w:val="24"/>
          <w:lang w:val="ro-RO"/>
        </w:rPr>
        <w:t>Interacțiuni medicamentoase</w:t>
      </w:r>
      <w:r w:rsidRPr="00FF5E27">
        <w:rPr>
          <w:rFonts w:ascii="Times New Roman" w:eastAsia="Times New Roman" w:hAnsi="Times New Roman" w:cs="Times New Roman"/>
          <w:color w:val="232323"/>
          <w:sz w:val="24"/>
          <w:szCs w:val="24"/>
          <w:lang w:val="ro-RO"/>
        </w:rPr>
        <w:t xml:space="preserve"> – Glecaprevirum* și pibrentasvirum sunt substraturi și inhibitori ai P-gp, proteinei de rezistență a cancerului de sân (BCRP) și polipeptidei transportoare de anioni organici (OATP) 1B1/3. </w:t>
      </w:r>
      <w:hyperlink r:id="rId72" w:history="1">
        <w:r w:rsidRPr="00FF5E27">
          <w:rPr>
            <w:rFonts w:ascii="Times New Roman" w:eastAsia="Times New Roman" w:hAnsi="Times New Roman" w:cs="Times New Roman"/>
            <w:sz w:val="24"/>
            <w:szCs w:val="24"/>
            <w:lang w:val="ro-RO"/>
          </w:rPr>
          <w:t>Astfel, administrarea concomitentă cu atazanavir</w:t>
        </w:r>
      </w:hyperlink>
      <w:r w:rsidRPr="00FF5E27">
        <w:rPr>
          <w:rFonts w:ascii="Times New Roman" w:eastAsia="Times New Roman" w:hAnsi="Times New Roman" w:cs="Times New Roman"/>
          <w:sz w:val="24"/>
          <w:szCs w:val="24"/>
          <w:lang w:val="ro-RO"/>
        </w:rPr>
        <w:t xml:space="preserve"> și </w:t>
      </w:r>
      <w:hyperlink r:id="rId73" w:history="1">
        <w:r w:rsidRPr="00FF5E27">
          <w:rPr>
            <w:rFonts w:ascii="Times New Roman" w:eastAsia="Times New Roman" w:hAnsi="Times New Roman" w:cs="Times New Roman"/>
            <w:sz w:val="24"/>
            <w:szCs w:val="24"/>
            <w:lang w:val="ro-RO"/>
          </w:rPr>
          <w:t>Rifampin</w:t>
        </w:r>
      </w:hyperlink>
      <w:r w:rsidRPr="00FF5E27">
        <w:rPr>
          <w:rFonts w:ascii="Times New Roman" w:eastAsia="Times New Roman" w:hAnsi="Times New Roman" w:cs="Times New Roman"/>
          <w:sz w:val="24"/>
          <w:szCs w:val="24"/>
          <w:lang w:val="ro-RO"/>
        </w:rPr>
        <w:t xml:space="preserve"> este contraindicată. Administrarea concomitentă </w:t>
      </w:r>
      <w:r w:rsidRPr="00FF5E27">
        <w:rPr>
          <w:rFonts w:ascii="Times New Roman" w:eastAsia="Times New Roman" w:hAnsi="Times New Roman" w:cs="Times New Roman"/>
          <w:sz w:val="24"/>
          <w:szCs w:val="24"/>
          <w:u w:val="single"/>
          <w:lang w:val="ro-RO"/>
        </w:rPr>
        <w:t>nu este recomandată</w:t>
      </w:r>
      <w:r w:rsidRPr="00FF5E27">
        <w:rPr>
          <w:rFonts w:ascii="Times New Roman" w:eastAsia="Times New Roman" w:hAnsi="Times New Roman" w:cs="Times New Roman"/>
          <w:sz w:val="24"/>
          <w:szCs w:val="24"/>
          <w:lang w:val="ro-RO"/>
        </w:rPr>
        <w:t xml:space="preserve"> cu </w:t>
      </w:r>
      <w:hyperlink r:id="rId74" w:history="1">
        <w:r w:rsidRPr="00FF5E27">
          <w:rPr>
            <w:rFonts w:ascii="Times New Roman" w:eastAsia="Times New Roman" w:hAnsi="Times New Roman" w:cs="Times New Roman"/>
            <w:sz w:val="24"/>
            <w:szCs w:val="24"/>
            <w:lang w:val="ro-RO"/>
          </w:rPr>
          <w:t>carbamazepină</w:t>
        </w:r>
      </w:hyperlink>
      <w:r w:rsidRPr="00FF5E27">
        <w:rPr>
          <w:rFonts w:ascii="Times New Roman" w:eastAsia="Times New Roman" w:hAnsi="Times New Roman" w:cs="Times New Roman"/>
          <w:sz w:val="24"/>
          <w:szCs w:val="24"/>
          <w:lang w:val="ro-RO"/>
        </w:rPr>
        <w:t xml:space="preserve"> , medicamente care conțin etinilestradiol (cum ar fi agenți contraceptivi orali), sunătoare, efavirenz, </w:t>
      </w:r>
      <w:hyperlink r:id="rId75" w:history="1">
        <w:r w:rsidRPr="00FF5E27">
          <w:rPr>
            <w:rFonts w:ascii="Times New Roman" w:eastAsia="Times New Roman" w:hAnsi="Times New Roman" w:cs="Times New Roman"/>
            <w:sz w:val="24"/>
            <w:szCs w:val="24"/>
            <w:lang w:val="ro-RO"/>
          </w:rPr>
          <w:t>darunavir</w:t>
        </w:r>
      </w:hyperlink>
      <w:r w:rsidRPr="00FF5E27">
        <w:rPr>
          <w:rFonts w:ascii="Times New Roman" w:eastAsia="Times New Roman" w:hAnsi="Times New Roman" w:cs="Times New Roman"/>
          <w:sz w:val="24"/>
          <w:szCs w:val="24"/>
          <w:lang w:val="ro-RO"/>
        </w:rPr>
        <w:t xml:space="preserve">, lopinavir, </w:t>
      </w:r>
      <w:hyperlink r:id="rId76" w:history="1">
        <w:r w:rsidRPr="00FF5E27">
          <w:rPr>
            <w:rFonts w:ascii="Times New Roman" w:eastAsia="Times New Roman" w:hAnsi="Times New Roman" w:cs="Times New Roman"/>
            <w:sz w:val="24"/>
            <w:szCs w:val="24"/>
            <w:lang w:val="ro-RO"/>
          </w:rPr>
          <w:t>ritonavir</w:t>
        </w:r>
      </w:hyperlink>
      <w:r w:rsidRPr="00FF5E27">
        <w:rPr>
          <w:rFonts w:ascii="Times New Roman" w:eastAsia="Times New Roman" w:hAnsi="Times New Roman" w:cs="Times New Roman"/>
          <w:sz w:val="24"/>
          <w:szCs w:val="24"/>
          <w:lang w:val="ro-RO"/>
        </w:rPr>
        <w:t xml:space="preserve"> și anumite statine (atorvastatinum, </w:t>
      </w:r>
      <w:hyperlink r:id="rId77" w:history="1">
        <w:r w:rsidRPr="00FF5E27">
          <w:rPr>
            <w:rFonts w:ascii="Times New Roman" w:eastAsia="Times New Roman" w:hAnsi="Times New Roman" w:cs="Times New Roman"/>
            <w:sz w:val="24"/>
            <w:szCs w:val="24"/>
            <w:lang w:val="ro-RO"/>
          </w:rPr>
          <w:t>lovastatin</w:t>
        </w:r>
      </w:hyperlink>
      <w:r w:rsidRPr="00FF5E27">
        <w:rPr>
          <w:rFonts w:ascii="Times New Roman" w:eastAsia="Times New Roman" w:hAnsi="Times New Roman" w:cs="Times New Roman"/>
          <w:sz w:val="24"/>
          <w:szCs w:val="24"/>
          <w:lang w:val="ro-RO"/>
        </w:rPr>
        <w:t>um și simvastatinum).</w:t>
      </w:r>
    </w:p>
    <w:p w:rsidR="00FF5E27" w:rsidRPr="00FF5E27" w:rsidRDefault="00FF5E27" w:rsidP="00461D8F">
      <w:pPr>
        <w:numPr>
          <w:ilvl w:val="0"/>
          <w:numId w:val="86"/>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Pentru alte interacțiuni medicamentoase specifice, consultați programul </w:t>
      </w:r>
      <w:hyperlink r:id="rId78" w:history="1">
        <w:r w:rsidRPr="00FF5E27">
          <w:rPr>
            <w:rFonts w:ascii="Times New Roman" w:eastAsia="Times New Roman" w:hAnsi="Times New Roman" w:cs="Times New Roman"/>
            <w:sz w:val="24"/>
            <w:szCs w:val="24"/>
            <w:lang w:val="ro-RO"/>
          </w:rPr>
          <w:t xml:space="preserve">de interacțiuni medicamentoase </w:t>
        </w:r>
      </w:hyperlink>
    </w:p>
    <w:p w:rsidR="00FF5E27" w:rsidRPr="00FF5E27" w:rsidRDefault="00FF5E27" w:rsidP="00FF5E27">
      <w:pPr>
        <w:spacing w:after="0" w:line="240" w:lineRule="auto"/>
        <w:jc w:val="both"/>
        <w:rPr>
          <w:rFonts w:ascii="Times New Roman" w:eastAsia="Times New Roman" w:hAnsi="Times New Roman" w:cs="Times New Roman"/>
          <w:b/>
          <w:iCs/>
          <w:sz w:val="24"/>
          <w:szCs w:val="24"/>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F5E27">
        <w:tc>
          <w:tcPr>
            <w:tcW w:w="9833" w:type="dxa"/>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b/>
                <w:bCs/>
                <w:color w:val="232323"/>
                <w:sz w:val="24"/>
                <w:szCs w:val="24"/>
                <w:lang w:val="ro-RO" w:eastAsia="ru-RU"/>
              </w:rPr>
            </w:pPr>
            <w:r w:rsidRPr="00FF5E27">
              <w:rPr>
                <w:rFonts w:ascii="Times New Roman" w:eastAsia="Times New Roman" w:hAnsi="Times New Roman" w:cs="Times New Roman"/>
                <w:b/>
                <w:iCs/>
                <w:sz w:val="24"/>
                <w:szCs w:val="24"/>
                <w:lang w:val="ro-RO" w:eastAsia="ru-RU"/>
              </w:rPr>
              <w:t xml:space="preserve">Caseta 23. </w:t>
            </w:r>
            <w:r w:rsidRPr="00FF5E27">
              <w:rPr>
                <w:rFonts w:ascii="Times New Roman" w:eastAsia="Times New Roman" w:hAnsi="Times New Roman" w:cs="Times New Roman"/>
                <w:b/>
                <w:bCs/>
                <w:color w:val="232323"/>
                <w:sz w:val="24"/>
                <w:szCs w:val="24"/>
                <w:lang w:val="ro-RO" w:eastAsia="ru-RU"/>
              </w:rPr>
              <w:t>Regimul pan-genotipic alternativ</w:t>
            </w:r>
            <w:r w:rsidRPr="00FF5E27">
              <w:rPr>
                <w:rFonts w:ascii="Times New Roman" w:eastAsia="Times New Roman" w:hAnsi="Times New Roman" w:cs="Times New Roman"/>
                <w:color w:val="232323"/>
                <w:sz w:val="24"/>
                <w:szCs w:val="24"/>
                <w:lang w:val="ro-RO" w:eastAsia="ru-RU"/>
              </w:rPr>
              <w:t xml:space="preserve"> </w:t>
            </w:r>
            <w:r w:rsidRPr="00FF5E27">
              <w:rPr>
                <w:rFonts w:ascii="Times New Roman" w:eastAsia="Times New Roman" w:hAnsi="Times New Roman" w:cs="Times New Roman"/>
                <w:b/>
                <w:bCs/>
                <w:color w:val="232323"/>
                <w:sz w:val="24"/>
                <w:szCs w:val="24"/>
                <w:lang w:val="ro-RO" w:eastAsia="ru-RU"/>
              </w:rPr>
              <w:t>sofosbuvir</w:t>
            </w:r>
            <w:r w:rsidRPr="00FF5E27">
              <w:rPr>
                <w:rFonts w:ascii="Times New Roman" w:eastAsia="Times New Roman" w:hAnsi="Times New Roman" w:cs="Times New Roman"/>
                <w:b/>
                <w:bCs/>
                <w:color w:val="232323"/>
                <w:sz w:val="24"/>
                <w:szCs w:val="24"/>
                <w:shd w:val="clear" w:color="auto" w:fill="FFFFFF"/>
                <w:lang w:val="ro-RO" w:eastAsia="ru-RU"/>
              </w:rPr>
              <w:t>um</w:t>
            </w:r>
            <w:r w:rsidRPr="00FF5E27">
              <w:rPr>
                <w:rFonts w:ascii="Times New Roman" w:eastAsia="Times New Roman" w:hAnsi="Times New Roman" w:cs="Times New Roman"/>
                <w:b/>
                <w:bCs/>
                <w:color w:val="232323"/>
                <w:sz w:val="24"/>
                <w:szCs w:val="24"/>
                <w:lang w:val="ro-RO" w:eastAsia="ru-RU"/>
              </w:rPr>
              <w:t>+ Daclatasvir</w:t>
            </w:r>
            <w:r w:rsidRPr="00FF5E27">
              <w:rPr>
                <w:rFonts w:ascii="Times New Roman" w:eastAsia="Times New Roman" w:hAnsi="Times New Roman" w:cs="Times New Roman"/>
                <w:b/>
                <w:bCs/>
                <w:color w:val="232323"/>
                <w:sz w:val="24"/>
                <w:szCs w:val="24"/>
                <w:shd w:val="clear" w:color="auto" w:fill="FFFFFF"/>
                <w:lang w:val="ro-RO" w:eastAsia="ru-RU"/>
              </w:rPr>
              <w:t xml:space="preserve">um*, doza </w:t>
            </w:r>
            <w:r w:rsidRPr="00FF5E27">
              <w:rPr>
                <w:rFonts w:ascii="Times New Roman" w:eastAsia="Times New Roman" w:hAnsi="Times New Roman" w:cs="Times New Roman"/>
                <w:b/>
                <w:bCs/>
                <w:color w:val="232323"/>
                <w:sz w:val="24"/>
                <w:szCs w:val="24"/>
                <w:lang w:val="ro-RO" w:eastAsia="ru-RU"/>
              </w:rPr>
              <w:t>400 mg</w:t>
            </w:r>
            <w:r w:rsidRPr="00FF5E27">
              <w:rPr>
                <w:rFonts w:ascii="Times New Roman" w:eastAsia="Times New Roman" w:hAnsi="Times New Roman" w:cs="Times New Roman"/>
                <w:b/>
                <w:bCs/>
                <w:color w:val="232323"/>
                <w:sz w:val="24"/>
                <w:szCs w:val="24"/>
                <w:shd w:val="clear" w:color="auto" w:fill="FFFFFF"/>
                <w:lang w:val="ro-RO" w:eastAsia="ru-RU"/>
              </w:rPr>
              <w:t>/60 mg</w:t>
            </w:r>
          </w:p>
          <w:p w:rsidR="00FF5E27" w:rsidRPr="00FF5E27" w:rsidRDefault="00FF5E27" w:rsidP="00461D8F">
            <w:pPr>
              <w:numPr>
                <w:ilvl w:val="0"/>
                <w:numId w:val="112"/>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Datele studiilor deschise și cele observaționale au susținut eficacitatea mare a acestui regim.</w:t>
            </w:r>
          </w:p>
          <w:p w:rsidR="00FF5E27" w:rsidRPr="00FF5E27" w:rsidRDefault="00FF5E27" w:rsidP="00461D8F">
            <w:pPr>
              <w:numPr>
                <w:ilvl w:val="0"/>
                <w:numId w:val="112"/>
              </w:numPr>
              <w:shd w:val="clear" w:color="auto" w:fill="FFFFFF"/>
              <w:spacing w:before="100" w:after="0" w:line="240" w:lineRule="auto"/>
              <w:ind w:left="357" w:hanging="357"/>
              <w:jc w:val="both"/>
              <w:rPr>
                <w:rFonts w:ascii="Times New Roman" w:eastAsia="Times New Roman" w:hAnsi="Times New Roman" w:cs="Times New Roman"/>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 xml:space="preserve">Daclatasvirum* este un inhibitor NS5A care este utilizat în combinație cu </w:t>
            </w:r>
            <w:hyperlink r:id="rId79" w:history="1">
              <w:r w:rsidRPr="00FF5E27">
                <w:rPr>
                  <w:rFonts w:ascii="Times New Roman" w:eastAsia="Times New Roman" w:hAnsi="Times New Roman" w:cs="Times New Roman"/>
                  <w:sz w:val="24"/>
                  <w:szCs w:val="24"/>
                  <w:shd w:val="clear" w:color="auto" w:fill="FFFFFF"/>
                  <w:lang w:val="ro-RO"/>
                </w:rPr>
                <w:t>sofosbuvir</w:t>
              </w:r>
            </w:hyperlink>
            <w:r w:rsidRPr="00FF5E27">
              <w:rPr>
                <w:rFonts w:ascii="Times New Roman" w:eastAsia="Times New Roman" w:hAnsi="Times New Roman" w:cs="Times New Roman"/>
                <w:sz w:val="24"/>
                <w:szCs w:val="24"/>
                <w:lang w:val="ro-RO"/>
              </w:rPr>
              <w:t>um*</w:t>
            </w:r>
            <w:r w:rsidRPr="00FF5E27">
              <w:rPr>
                <w:rFonts w:ascii="Times New Roman" w:eastAsia="Times New Roman" w:hAnsi="Times New Roman" w:cs="Times New Roman"/>
                <w:sz w:val="24"/>
                <w:szCs w:val="24"/>
                <w:shd w:val="clear" w:color="auto" w:fill="FFFFFF"/>
                <w:lang w:val="ro-RO"/>
              </w:rPr>
              <w:t xml:space="preserve">. </w:t>
            </w:r>
          </w:p>
          <w:p w:rsidR="00FF5E27" w:rsidRPr="00FF5E27" w:rsidRDefault="00875399" w:rsidP="00FF5E27">
            <w:pPr>
              <w:shd w:val="clear" w:color="auto" w:fill="FFFFFF"/>
              <w:spacing w:after="0" w:line="240" w:lineRule="auto"/>
              <w:jc w:val="both"/>
              <w:rPr>
                <w:rFonts w:ascii="Times New Roman" w:eastAsia="Times New Roman" w:hAnsi="Times New Roman" w:cs="Times New Roman"/>
                <w:sz w:val="24"/>
                <w:szCs w:val="24"/>
                <w:lang w:val="ro-RO"/>
              </w:rPr>
            </w:pPr>
            <w:hyperlink r:id="rId80" w:history="1">
              <w:r w:rsidR="00FF5E27" w:rsidRPr="00FF5E27">
                <w:rPr>
                  <w:rFonts w:ascii="Times New Roman" w:eastAsia="Times New Roman" w:hAnsi="Times New Roman" w:cs="Times New Roman"/>
                  <w:sz w:val="24"/>
                  <w:szCs w:val="24"/>
                  <w:lang w:val="ro-RO"/>
                </w:rPr>
                <w:t>Sofosbuvir</w:t>
              </w:r>
            </w:hyperlink>
            <w:r w:rsidR="00FF5E27" w:rsidRPr="00FF5E27">
              <w:rPr>
                <w:rFonts w:ascii="Times New Roman" w:eastAsia="Times New Roman" w:hAnsi="Times New Roman" w:cs="Times New Roman"/>
                <w:sz w:val="24"/>
                <w:szCs w:val="24"/>
                <w:lang w:val="ro-RO"/>
              </w:rPr>
              <w:t xml:space="preserve">um </w:t>
            </w:r>
            <w:r w:rsidR="00FF5E27" w:rsidRPr="00FF5E27">
              <w:rPr>
                <w:rFonts w:ascii="Times New Roman" w:eastAsia="Times New Roman" w:hAnsi="Times New Roman" w:cs="Times New Roman"/>
                <w:sz w:val="24"/>
                <w:szCs w:val="24"/>
                <w:vertAlign w:val="subscript"/>
                <w:lang w:val="ro-RO"/>
              </w:rPr>
              <w:t xml:space="preserve">+ </w:t>
            </w:r>
            <w:r w:rsidR="00FF5E27" w:rsidRPr="00FF5E27">
              <w:rPr>
                <w:rFonts w:ascii="Times New Roman" w:eastAsia="Times New Roman" w:hAnsi="Times New Roman" w:cs="Times New Roman"/>
                <w:sz w:val="24"/>
                <w:szCs w:val="24"/>
                <w:lang w:val="ro-RO"/>
              </w:rPr>
              <w:t xml:space="preserve">daclatasvirum* se administrează sub formă de două comprimate separate. </w:t>
            </w:r>
          </w:p>
          <w:p w:rsidR="00FF5E27" w:rsidRPr="00FF5E27" w:rsidRDefault="00FF5E27" w:rsidP="00461D8F">
            <w:pPr>
              <w:numPr>
                <w:ilvl w:val="0"/>
                <w:numId w:val="65"/>
              </w:numPr>
              <w:spacing w:before="100"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Daclatasvirum* se administrează în doză orală de 60 mg o dată pe zi, cu sau fără alimente.</w:t>
            </w:r>
          </w:p>
          <w:p w:rsidR="00FF5E27" w:rsidRPr="00FF5E27" w:rsidRDefault="00FF5E27" w:rsidP="00461D8F">
            <w:pPr>
              <w:numPr>
                <w:ilvl w:val="0"/>
                <w:numId w:val="65"/>
              </w:numPr>
              <w:spacing w:before="100"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Nu sunt necesare ajustări ale dozei pentru insuficiență renală sau hepatică. </w:t>
            </w:r>
          </w:p>
          <w:p w:rsidR="00FF5E27" w:rsidRPr="00FF5E27" w:rsidRDefault="00FF5E27" w:rsidP="00461D8F">
            <w:pPr>
              <w:numPr>
                <w:ilvl w:val="0"/>
                <w:numId w:val="65"/>
              </w:numPr>
              <w:spacing w:before="100"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Daclatasvirum este în general bine tolerat. </w:t>
            </w:r>
          </w:p>
          <w:p w:rsidR="00FF5E27" w:rsidRPr="00FF5E27" w:rsidRDefault="00FF5E27" w:rsidP="00461D8F">
            <w:pPr>
              <w:numPr>
                <w:ilvl w:val="0"/>
                <w:numId w:val="65"/>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i/>
                <w:iCs/>
                <w:color w:val="232323"/>
                <w:sz w:val="24"/>
                <w:szCs w:val="24"/>
                <w:lang w:val="ro-RO"/>
              </w:rPr>
              <w:t>Interacțiuni medicamentoase:</w:t>
            </w:r>
            <w:r w:rsidRPr="00FF5E27">
              <w:rPr>
                <w:rFonts w:ascii="Times New Roman" w:eastAsia="Times New Roman" w:hAnsi="Times New Roman" w:cs="Times New Roman"/>
                <w:color w:val="232323"/>
                <w:sz w:val="24"/>
                <w:szCs w:val="24"/>
                <w:lang w:val="ro-RO"/>
              </w:rPr>
              <w:t xml:space="preserve"> Daclatasvirum* este metabolizat în principal prin metabolismul CYP3A și nu trebuie administrat cu inductori puternici ai acestei enzime. Prin urmare, administrarea concomitentă de Daclatasvirum* nu este recomandată </w:t>
            </w:r>
            <w:r w:rsidRPr="00FF5E27">
              <w:rPr>
                <w:rFonts w:ascii="Times New Roman" w:eastAsia="Times New Roman" w:hAnsi="Times New Roman" w:cs="Times New Roman"/>
                <w:sz w:val="24"/>
                <w:szCs w:val="24"/>
                <w:lang w:val="ro-RO"/>
              </w:rPr>
              <w:t xml:space="preserve">cu </w:t>
            </w:r>
            <w:hyperlink r:id="rId81" w:history="1">
              <w:r w:rsidRPr="00FF5E27">
                <w:rPr>
                  <w:rFonts w:ascii="Times New Roman" w:eastAsia="Times New Roman" w:hAnsi="Times New Roman" w:cs="Times New Roman"/>
                  <w:sz w:val="24"/>
                  <w:szCs w:val="24"/>
                  <w:lang w:val="ro-RO"/>
                </w:rPr>
                <w:t>Rifampin</w:t>
              </w:r>
            </w:hyperlink>
            <w:r w:rsidRPr="00FF5E27">
              <w:rPr>
                <w:rFonts w:ascii="Times New Roman" w:eastAsia="Times New Roman" w:hAnsi="Times New Roman" w:cs="Times New Roman"/>
                <w:sz w:val="24"/>
                <w:szCs w:val="24"/>
                <w:lang w:val="ro-RO"/>
              </w:rPr>
              <w:t xml:space="preserve">, </w:t>
            </w:r>
            <w:hyperlink r:id="rId82" w:history="1">
              <w:r w:rsidRPr="00FF5E27">
                <w:rPr>
                  <w:rFonts w:ascii="Times New Roman" w:eastAsia="Times New Roman" w:hAnsi="Times New Roman" w:cs="Times New Roman"/>
                  <w:sz w:val="24"/>
                  <w:szCs w:val="24"/>
                  <w:lang w:val="ro-RO"/>
                </w:rPr>
                <w:t>fenitoină</w:t>
              </w:r>
            </w:hyperlink>
            <w:r w:rsidRPr="00FF5E27">
              <w:rPr>
                <w:rFonts w:ascii="Times New Roman" w:eastAsia="Times New Roman" w:hAnsi="Times New Roman" w:cs="Times New Roman"/>
                <w:sz w:val="24"/>
                <w:szCs w:val="24"/>
                <w:lang w:val="ro-RO"/>
              </w:rPr>
              <w:t xml:space="preserve">, </w:t>
            </w:r>
            <w:hyperlink r:id="rId83" w:history="1">
              <w:r w:rsidRPr="00FF5E27">
                <w:rPr>
                  <w:rFonts w:ascii="Times New Roman" w:eastAsia="Times New Roman" w:hAnsi="Times New Roman" w:cs="Times New Roman"/>
                  <w:sz w:val="24"/>
                  <w:szCs w:val="24"/>
                  <w:lang w:val="ro-RO"/>
                </w:rPr>
                <w:t>carbamazepină</w:t>
              </w:r>
            </w:hyperlink>
            <w:r w:rsidRPr="00FF5E27">
              <w:rPr>
                <w:rFonts w:ascii="Times New Roman" w:eastAsia="Times New Roman" w:hAnsi="Times New Roman" w:cs="Times New Roman"/>
                <w:sz w:val="24"/>
                <w:szCs w:val="24"/>
                <w:lang w:val="ro-RO"/>
              </w:rPr>
              <w:t xml:space="preserve"> și sunătoare. O reducere a dozei la 30 mg o dată pe zi este recomandată atunci când Daclatasvirum* este utilizat cu inhibitori puternici ai CYP3A (cum ar fi atazanavir potențat cu ritonavir</w:t>
            </w:r>
            <w:hyperlink r:id="rId84" w:history="1">
              <w:r w:rsidRPr="00FF5E27">
                <w:rPr>
                  <w:rFonts w:ascii="Times New Roman" w:eastAsia="Times New Roman" w:hAnsi="Times New Roman" w:cs="Times New Roman"/>
                  <w:sz w:val="24"/>
                  <w:szCs w:val="24"/>
                  <w:lang w:val="ro-RO"/>
                </w:rPr>
                <w:t>,</w:t>
              </w:r>
            </w:hyperlink>
            <w:r w:rsidRPr="00FF5E27">
              <w:rPr>
                <w:rFonts w:ascii="Times New Roman" w:eastAsia="Times New Roman" w:hAnsi="Times New Roman" w:cs="Times New Roman"/>
                <w:sz w:val="24"/>
                <w:szCs w:val="24"/>
                <w:lang w:val="ro-RO"/>
              </w:rPr>
              <w:t xml:space="preserve"> unii agenți azolici și </w:t>
            </w:r>
            <w:hyperlink r:id="rId85" w:history="1">
              <w:r w:rsidRPr="00FF5E27">
                <w:rPr>
                  <w:rFonts w:ascii="Times New Roman" w:eastAsia="Times New Roman" w:hAnsi="Times New Roman" w:cs="Times New Roman"/>
                  <w:sz w:val="24"/>
                  <w:szCs w:val="24"/>
                  <w:lang w:val="ro-RO"/>
                </w:rPr>
                <w:t>claritromicinum</w:t>
              </w:r>
            </w:hyperlink>
            <w:r w:rsidRPr="00FF5E27">
              <w:rPr>
                <w:rFonts w:ascii="Times New Roman" w:eastAsia="Times New Roman" w:hAnsi="Times New Roman" w:cs="Times New Roman"/>
                <w:sz w:val="24"/>
                <w:szCs w:val="24"/>
                <w:lang w:val="ro-RO"/>
              </w:rPr>
              <w:t xml:space="preserve"> ). Se recomandă o creștere a dozei la 90 mg o dată pe zi atunci când Daclatasvirum* este utilizat cu inductori moderați ai CYP3A (cum ar fi </w:t>
            </w:r>
            <w:hyperlink r:id="rId86" w:history="1">
              <w:r w:rsidRPr="00FF5E27">
                <w:rPr>
                  <w:rFonts w:ascii="Times New Roman" w:eastAsia="Times New Roman" w:hAnsi="Times New Roman" w:cs="Times New Roman"/>
                  <w:sz w:val="24"/>
                  <w:szCs w:val="24"/>
                  <w:lang w:val="ro-RO"/>
                </w:rPr>
                <w:t>efavirenz</w:t>
              </w:r>
            </w:hyperlink>
            <w:r w:rsidRPr="00FF5E27">
              <w:rPr>
                <w:rFonts w:ascii="Times New Roman" w:eastAsia="Times New Roman" w:hAnsi="Times New Roman" w:cs="Times New Roman"/>
                <w:sz w:val="24"/>
                <w:szCs w:val="24"/>
                <w:lang w:val="ro-RO"/>
              </w:rPr>
              <w:t xml:space="preserve">, </w:t>
            </w:r>
            <w:hyperlink r:id="rId87" w:history="1">
              <w:r w:rsidRPr="00FF5E27">
                <w:rPr>
                  <w:rFonts w:ascii="Times New Roman" w:eastAsia="Times New Roman" w:hAnsi="Times New Roman" w:cs="Times New Roman"/>
                  <w:sz w:val="24"/>
                  <w:szCs w:val="24"/>
                  <w:lang w:val="ro-RO"/>
                </w:rPr>
                <w:t>etravirina</w:t>
              </w:r>
            </w:hyperlink>
            <w:r w:rsidRPr="00FF5E27">
              <w:rPr>
                <w:rFonts w:ascii="Times New Roman" w:eastAsia="Times New Roman" w:hAnsi="Times New Roman" w:cs="Times New Roman"/>
                <w:sz w:val="24"/>
                <w:szCs w:val="24"/>
                <w:lang w:val="ro-RO"/>
              </w:rPr>
              <w:t xml:space="preserve">, Dexamethasonum și </w:t>
            </w:r>
            <w:hyperlink r:id="rId88" w:history="1">
              <w:r w:rsidRPr="00FF5E27">
                <w:rPr>
                  <w:rFonts w:ascii="Times New Roman" w:eastAsia="Times New Roman" w:hAnsi="Times New Roman" w:cs="Times New Roman"/>
                  <w:sz w:val="24"/>
                  <w:szCs w:val="24"/>
                  <w:lang w:val="ro-RO"/>
                </w:rPr>
                <w:t>nafcilină</w:t>
              </w:r>
            </w:hyperlink>
            <w:r w:rsidRPr="00FF5E27">
              <w:rPr>
                <w:rFonts w:ascii="Times New Roman" w:eastAsia="Times New Roman" w:hAnsi="Times New Roman" w:cs="Times New Roman"/>
                <w:sz w:val="24"/>
                <w:szCs w:val="24"/>
                <w:lang w:val="ro-RO"/>
              </w:rPr>
              <w:t>).</w:t>
            </w:r>
          </w:p>
          <w:p w:rsidR="00FF5E27" w:rsidRPr="00FF5E27" w:rsidRDefault="00FF5E27" w:rsidP="00461D8F">
            <w:pPr>
              <w:numPr>
                <w:ilvl w:val="0"/>
                <w:numId w:val="65"/>
              </w:numPr>
              <w:shd w:val="clear" w:color="auto" w:fill="FFFFFF"/>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Daclatasvirum* este un inhibitor al transportorului P-glicoproteinei (P-gp), al polipeptidei transportoare de anioni organici (OATP) 1B1 și 1B3 și al proteinei de rezistență a cancerului de sân. </w:t>
            </w:r>
            <w:r w:rsidRPr="00FF5E27">
              <w:rPr>
                <w:rFonts w:ascii="Times New Roman" w:eastAsia="Times New Roman" w:hAnsi="Times New Roman" w:cs="Times New Roman"/>
                <w:i/>
                <w:sz w:val="24"/>
                <w:szCs w:val="24"/>
                <w:lang w:val="ro-RO"/>
              </w:rPr>
              <w:t>Ajustarea dozei de Digoxinum poate fi justificată atunci când este utilizat cu Daclatasvirum*.</w:t>
            </w:r>
          </w:p>
          <w:p w:rsidR="00FF5E27" w:rsidRPr="00FF5E27" w:rsidRDefault="00FF5E27" w:rsidP="00461D8F">
            <w:pPr>
              <w:numPr>
                <w:ilvl w:val="0"/>
                <w:numId w:val="65"/>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i/>
                <w:iCs/>
                <w:sz w:val="24"/>
                <w:szCs w:val="24"/>
                <w:shd w:val="clear" w:color="auto" w:fill="FFFFFF"/>
                <w:lang w:val="ro-RO"/>
              </w:rPr>
              <w:t>Rezistență</w:t>
            </w:r>
            <w:r w:rsidRPr="00FF5E27">
              <w:rPr>
                <w:rFonts w:ascii="Times New Roman" w:eastAsia="Times New Roman" w:hAnsi="Times New Roman" w:cs="Times New Roman"/>
                <w:sz w:val="24"/>
                <w:szCs w:val="24"/>
                <w:shd w:val="clear" w:color="auto" w:fill="FFFFFF"/>
                <w:lang w:val="ro-RO"/>
              </w:rPr>
              <w:t xml:space="preserve"> – Polimorfismele din proteina NS5A care sunt asociate cu rezistența la Daclatasvirum* in vitro includ polimorfisme la M28, A30, L31 și Y93; mutațiile la locul Y93 par a fi cele mai relevante din punct de vedere clinic. Un polimorfism Y93H inițial a fost detectat la 13 din 148 de pacienți infectați cu genotipul 3 într-un studiu clinic cu Daclatasvirum plus </w:t>
            </w:r>
            <w:hyperlink r:id="rId89" w:history="1">
              <w:r w:rsidRPr="00FF5E27">
                <w:rPr>
                  <w:rFonts w:ascii="Times New Roman" w:eastAsia="Times New Roman" w:hAnsi="Times New Roman" w:cs="Times New Roman"/>
                  <w:sz w:val="24"/>
                  <w:szCs w:val="24"/>
                  <w:shd w:val="clear" w:color="auto" w:fill="FFFFFF"/>
                  <w:lang w:val="ro-RO"/>
                </w:rPr>
                <w:t>sofosbuvir</w:t>
              </w:r>
            </w:hyperlink>
            <w:r w:rsidRPr="00FF5E27">
              <w:rPr>
                <w:rFonts w:ascii="Times New Roman" w:eastAsia="Times New Roman" w:hAnsi="Times New Roman" w:cs="Times New Roman"/>
                <w:sz w:val="24"/>
                <w:szCs w:val="24"/>
                <w:lang w:val="ro-RO"/>
              </w:rPr>
              <w:t>um*</w:t>
            </w:r>
            <w:r w:rsidRPr="00FF5E27">
              <w:rPr>
                <w:rFonts w:ascii="Times New Roman" w:eastAsia="Times New Roman" w:hAnsi="Times New Roman" w:cs="Times New Roman"/>
                <w:sz w:val="24"/>
                <w:szCs w:val="24"/>
                <w:shd w:val="clear" w:color="auto" w:fill="FFFFFF"/>
                <w:lang w:val="ro-RO"/>
              </w:rPr>
              <w:t xml:space="preserve"> și a fost</w:t>
            </w:r>
            <w:r w:rsidRPr="00FF5E27">
              <w:rPr>
                <w:rFonts w:ascii="Times New Roman" w:eastAsia="Times New Roman" w:hAnsi="Times New Roman" w:cs="Times New Roman"/>
                <w:color w:val="232323"/>
                <w:sz w:val="24"/>
                <w:szCs w:val="24"/>
                <w:shd w:val="clear" w:color="auto" w:fill="FFFFFF"/>
                <w:lang w:val="ro-RO"/>
              </w:rPr>
              <w:t xml:space="preserve"> asociat cu rate mai mici de SVR]. Printre cei 10 pacienți care au avut insuficiență virologică și nu au avut un polimorfism Y93H la momentul inițial, Y93H a apărut la nouă dintre ei. Alte polimorfisme nu au fost asociate cu un răspuns clinic negativ.</w:t>
            </w:r>
          </w:p>
        </w:tc>
      </w:tr>
    </w:tbl>
    <w:p w:rsidR="00FF5E27" w:rsidRPr="00FF5E27" w:rsidRDefault="00FF5E27" w:rsidP="00FF5E27">
      <w:pPr>
        <w:shd w:val="clear" w:color="auto" w:fill="FFFFFF"/>
        <w:spacing w:after="0" w:line="240" w:lineRule="auto"/>
        <w:jc w:val="both"/>
        <w:rPr>
          <w:rFonts w:ascii="Times New Roman" w:eastAsia="Times New Roman" w:hAnsi="Times New Roman" w:cs="Times New Roman"/>
          <w:b/>
          <w:bCs/>
          <w:color w:val="232323"/>
          <w:sz w:val="24"/>
          <w:szCs w:val="24"/>
          <w:shd w:val="clear" w:color="auto" w:fill="FFFFFF"/>
          <w:lang w:val="ro-RO"/>
        </w:rPr>
      </w:pPr>
    </w:p>
    <w:p w:rsidR="00FF5E27" w:rsidRPr="00FF5E27" w:rsidRDefault="00FF5E27" w:rsidP="00FF5E27">
      <w:pPr>
        <w:shd w:val="clear" w:color="auto" w:fill="FFFFFF"/>
        <w:spacing w:after="0" w:line="240" w:lineRule="auto"/>
        <w:jc w:val="both"/>
        <w:rPr>
          <w:rFonts w:ascii="Times New Roman" w:eastAsia="Times New Roman" w:hAnsi="Times New Roman" w:cs="Times New Roman"/>
          <w:b/>
          <w:bCs/>
          <w:color w:val="232323"/>
          <w:sz w:val="24"/>
          <w:szCs w:val="24"/>
          <w:shd w:val="clear" w:color="auto" w:fill="FFFFFF"/>
          <w:lang w:val="ro-RO"/>
        </w:rPr>
      </w:pPr>
      <w:r w:rsidRPr="00FF5E27">
        <w:rPr>
          <w:rFonts w:ascii="Times New Roman" w:eastAsia="Times New Roman" w:hAnsi="Times New Roman" w:cs="Times New Roman"/>
          <w:b/>
          <w:bCs/>
          <w:color w:val="232323"/>
          <w:sz w:val="24"/>
          <w:szCs w:val="24"/>
          <w:shd w:val="clear" w:color="auto" w:fill="FFFFFF"/>
          <w:lang w:val="ro-RO"/>
        </w:rPr>
        <w:t xml:space="preserve">Tabelul </w:t>
      </w:r>
      <w:r w:rsidR="00955272">
        <w:rPr>
          <w:rFonts w:ascii="Times New Roman" w:eastAsia="Times New Roman" w:hAnsi="Times New Roman" w:cs="Times New Roman"/>
          <w:b/>
          <w:bCs/>
          <w:color w:val="232323"/>
          <w:sz w:val="24"/>
          <w:szCs w:val="24"/>
          <w:shd w:val="clear" w:color="auto" w:fill="FFFFFF"/>
          <w:lang w:val="ro-RO"/>
        </w:rPr>
        <w:t>16</w:t>
      </w:r>
      <w:r w:rsidRPr="00FF5E27">
        <w:rPr>
          <w:rFonts w:ascii="Times New Roman" w:eastAsia="Times New Roman" w:hAnsi="Times New Roman" w:cs="Times New Roman"/>
          <w:b/>
          <w:bCs/>
          <w:color w:val="232323"/>
          <w:sz w:val="24"/>
          <w:szCs w:val="24"/>
          <w:shd w:val="clear" w:color="auto" w:fill="FFFFFF"/>
          <w:lang w:val="ro-RO"/>
        </w:rPr>
        <w:t>.</w:t>
      </w:r>
      <w:r w:rsidRPr="00FF5E27">
        <w:rPr>
          <w:rFonts w:ascii="Times New Roman" w:eastAsia="Times New Roman" w:hAnsi="Times New Roman" w:cs="Times New Roman"/>
          <w:color w:val="232323"/>
          <w:sz w:val="24"/>
          <w:szCs w:val="24"/>
          <w:shd w:val="clear" w:color="auto" w:fill="FFFFFF"/>
          <w:lang w:val="ro-RO"/>
        </w:rPr>
        <w:t xml:space="preserve"> </w:t>
      </w:r>
      <w:r w:rsidRPr="00FF5E27">
        <w:rPr>
          <w:rFonts w:ascii="Times New Roman" w:eastAsia="Times New Roman" w:hAnsi="Times New Roman" w:cs="Times New Roman"/>
          <w:b/>
          <w:bCs/>
          <w:color w:val="232323"/>
          <w:sz w:val="24"/>
          <w:szCs w:val="24"/>
          <w:shd w:val="clear" w:color="auto" w:fill="FFFFFF"/>
          <w:lang w:val="ro-RO"/>
        </w:rPr>
        <w:t xml:space="preserve">Regimul genotipic-specific </w:t>
      </w:r>
      <w:hyperlink r:id="rId90" w:history="1">
        <w:r w:rsidRPr="00FF5E27">
          <w:rPr>
            <w:rFonts w:ascii="Times New Roman" w:eastAsia="Times New Roman" w:hAnsi="Times New Roman" w:cs="Times New Roman"/>
            <w:b/>
            <w:bCs/>
            <w:sz w:val="24"/>
            <w:szCs w:val="24"/>
            <w:shd w:val="clear" w:color="auto" w:fill="FFFFFF"/>
            <w:lang w:val="ro-RO"/>
          </w:rPr>
          <w:t>Elbasvir</w:t>
        </w:r>
        <w:r w:rsidRPr="00FF5E27">
          <w:rPr>
            <w:rFonts w:ascii="Times New Roman" w:eastAsia="Times New Roman" w:hAnsi="Times New Roman" w:cs="Times New Roman"/>
            <w:b/>
            <w:bCs/>
            <w:color w:val="232323"/>
            <w:sz w:val="24"/>
            <w:szCs w:val="24"/>
            <w:shd w:val="clear" w:color="auto" w:fill="FFFFFF"/>
            <w:lang w:val="ro-RO"/>
          </w:rPr>
          <w:t>um*+</w:t>
        </w:r>
        <w:r w:rsidRPr="00FF5E27">
          <w:rPr>
            <w:rFonts w:ascii="Times New Roman" w:eastAsia="Times New Roman" w:hAnsi="Times New Roman" w:cs="Times New Roman"/>
            <w:b/>
            <w:bCs/>
            <w:sz w:val="24"/>
            <w:szCs w:val="24"/>
            <w:shd w:val="clear" w:color="auto" w:fill="FFFFFF"/>
            <w:lang w:val="ro-RO"/>
          </w:rPr>
          <w:t>grazoprevir</w:t>
        </w:r>
      </w:hyperlink>
      <w:r w:rsidRPr="00FF5E27">
        <w:rPr>
          <w:rFonts w:ascii="Times New Roman" w:eastAsia="Times New Roman" w:hAnsi="Times New Roman" w:cs="Times New Roman"/>
          <w:b/>
          <w:bCs/>
          <w:color w:val="232323"/>
          <w:sz w:val="24"/>
          <w:szCs w:val="24"/>
          <w:shd w:val="clear" w:color="auto" w:fill="FFFFFF"/>
          <w:lang w:val="ro-RO"/>
        </w:rPr>
        <w:t>um</w:t>
      </w:r>
      <w:r w:rsidRPr="00FF5E27">
        <w:rPr>
          <w:rFonts w:ascii="Times New Roman" w:eastAsia="Times New Roman" w:hAnsi="Times New Roman" w:cs="Times New Roman"/>
          <w:color w:val="232323"/>
          <w:sz w:val="24"/>
          <w:szCs w:val="24"/>
          <w:shd w:val="clear" w:color="auto" w:fill="FFFFFF"/>
          <w:lang w:val="ro-RO"/>
        </w:rPr>
        <w:t xml:space="preserve">* </w:t>
      </w:r>
      <w:r w:rsidRPr="00FF5E27">
        <w:rPr>
          <w:rFonts w:ascii="Times New Roman" w:eastAsia="Times New Roman" w:hAnsi="Times New Roman" w:cs="Times New Roman"/>
          <w:b/>
          <w:bCs/>
          <w:color w:val="232323"/>
          <w:sz w:val="24"/>
          <w:szCs w:val="24"/>
          <w:shd w:val="clear" w:color="auto" w:fill="FFFFFF"/>
          <w:lang w:val="ro-RO"/>
        </w:rPr>
        <w:t xml:space="preserve">pentru tratamentul infecției cornice cu VHC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742"/>
      </w:tblGrid>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Indicații de tratament al infecției cronice cu VHC cu regimul genotipic-specific grazoprevirum**</w:t>
            </w:r>
            <w:r w:rsidRPr="00FF5E27">
              <w:rPr>
                <w:rFonts w:ascii="Times New Roman" w:eastAsia="Times New Roman" w:hAnsi="Times New Roman" w:cs="Times New Roman"/>
                <w:b/>
                <w:bCs/>
                <w:color w:val="232323"/>
                <w:sz w:val="24"/>
                <w:szCs w:val="24"/>
                <w:shd w:val="clear" w:color="auto" w:fill="FFFFFF"/>
                <w:lang w:val="ro-RO" w:eastAsia="ru-RU"/>
              </w:rPr>
              <w:t>+</w:t>
            </w:r>
            <w:r w:rsidRPr="00FF5E27">
              <w:rPr>
                <w:rFonts w:ascii="Times New Roman" w:eastAsia="Times New Roman" w:hAnsi="Times New Roman" w:cs="Times New Roman"/>
                <w:b/>
                <w:bCs/>
                <w:sz w:val="24"/>
                <w:szCs w:val="24"/>
                <w:lang w:val="ro-RO" w:eastAsia="ru-RU"/>
              </w:rPr>
              <w:t>elbasvir</w:t>
            </w:r>
            <w:r w:rsidRPr="00FF5E27">
              <w:rPr>
                <w:rFonts w:ascii="Times New Roman" w:eastAsia="Times New Roman" w:hAnsi="Times New Roman" w:cs="Times New Roman"/>
                <w:b/>
                <w:bCs/>
                <w:color w:val="232323"/>
                <w:sz w:val="24"/>
                <w:szCs w:val="24"/>
                <w:shd w:val="clear" w:color="auto" w:fill="FFFFFF"/>
                <w:lang w:val="ro-RO" w:eastAsia="ru-RU"/>
              </w:rPr>
              <w:t>um*</w:t>
            </w:r>
          </w:p>
        </w:tc>
        <w:tc>
          <w:tcPr>
            <w:tcW w:w="5072"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Posologia</w:t>
            </w:r>
          </w:p>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(Comprimatul combinat este format din glecaprevirum* 100 mg și pibrentasvirum 40 mg)</w:t>
            </w:r>
          </w:p>
        </w:tc>
      </w:tr>
      <w:tr w:rsidR="00FF5E27" w:rsidRPr="00FF5E27" w:rsidTr="00FF5E27">
        <w:tc>
          <w:tcPr>
            <w:tcW w:w="9747" w:type="dxa"/>
            <w:gridSpan w:val="2"/>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i/>
                <w:iCs/>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Genotipul 1a:</w:t>
            </w:r>
          </w:p>
        </w:tc>
      </w:tr>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Tratament naiv fără ciroză (agent alternativ): </w:t>
            </w:r>
          </w:p>
        </w:tc>
        <w:tc>
          <w:tcPr>
            <w:tcW w:w="5072"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Oral: 1 comprimat (elbasvirum 50 mg+ grazoprevirum* 100 mg) o dată pe zi timp de 12 săptămâni </w:t>
            </w:r>
          </w:p>
        </w:tc>
      </w:tr>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Pacienți post-transplant renal, naivi sau cu experiență de antivirale cu acțiune indirectă, fără ciroză sau cu ciroză compensată (agent alternativ)*: </w:t>
            </w:r>
          </w:p>
        </w:tc>
        <w:tc>
          <w:tcPr>
            <w:tcW w:w="5072"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Oral: 1 comprimat (elbasvirum 50 mg+ grazoprevirum* 100 mg) o dată pe zi, timp de 12 săptămâni. </w:t>
            </w:r>
          </w:p>
        </w:tc>
      </w:tr>
      <w:tr w:rsidR="00FF5E27" w:rsidRPr="00FF5E27" w:rsidTr="00FF5E27">
        <w:tc>
          <w:tcPr>
            <w:tcW w:w="9747" w:type="dxa"/>
            <w:gridSpan w:val="2"/>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Genotipul 1b:</w:t>
            </w:r>
          </w:p>
        </w:tc>
      </w:tr>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Tratament-naiv fără ciroză sau cu ciroză compensată: </w:t>
            </w:r>
          </w:p>
        </w:tc>
        <w:tc>
          <w:tcPr>
            <w:tcW w:w="5072" w:type="dxa"/>
            <w:shd w:val="clear" w:color="auto" w:fill="auto"/>
          </w:tcPr>
          <w:p w:rsidR="00FF5E27" w:rsidRPr="00FF5E27" w:rsidRDefault="00FF5E27" w:rsidP="00FF5E27">
            <w:pPr>
              <w:spacing w:after="0" w:line="240" w:lineRule="auto"/>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Oral: 1 comprimat (elbasvirum 50 mg+ grazoprevirum* 100 mg) o dată pe zi timp de 12 săptămâni; 8 săptămâni pot fi luate în considerare pentru pacienții cu fibroză ușoară fără ciroză </w:t>
            </w:r>
          </w:p>
        </w:tc>
      </w:tr>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Pacienți post-transplant renal, naivi sau cu </w:t>
            </w:r>
            <w:r w:rsidRPr="00FF5E27">
              <w:rPr>
                <w:rFonts w:ascii="Times New Roman" w:eastAsia="Times New Roman" w:hAnsi="Times New Roman" w:cs="Times New Roman"/>
                <w:color w:val="232323"/>
                <w:sz w:val="24"/>
                <w:szCs w:val="24"/>
                <w:shd w:val="clear" w:color="auto" w:fill="FFFFFF"/>
                <w:lang w:val="ro-RO" w:eastAsia="ru-RU"/>
              </w:rPr>
              <w:lastRenderedPageBreak/>
              <w:t>experiență de antivirale cu acțiune indirectă, fără ciroză sau cu ciroză compensată (agent alternativ)*:</w:t>
            </w:r>
          </w:p>
        </w:tc>
        <w:tc>
          <w:tcPr>
            <w:tcW w:w="5072"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lastRenderedPageBreak/>
              <w:t xml:space="preserve">Oral: 1 comprimat (elbasvirum 50 mg+ </w:t>
            </w:r>
            <w:r w:rsidRPr="00FF5E27">
              <w:rPr>
                <w:rFonts w:ascii="Times New Roman" w:eastAsia="Times New Roman" w:hAnsi="Times New Roman" w:cs="Times New Roman"/>
                <w:color w:val="232323"/>
                <w:sz w:val="24"/>
                <w:szCs w:val="24"/>
                <w:shd w:val="clear" w:color="auto" w:fill="FFFFFF"/>
                <w:lang w:val="ro-RO" w:eastAsia="ru-RU"/>
              </w:rPr>
              <w:lastRenderedPageBreak/>
              <w:t xml:space="preserve">grazoprevirum* 100 mg) o dată pe zi, timp de 12 săptămâni. </w:t>
            </w:r>
          </w:p>
        </w:tc>
      </w:tr>
      <w:tr w:rsidR="00FF5E27" w:rsidRPr="00FF5E27" w:rsidTr="00FF5E27">
        <w:tc>
          <w:tcPr>
            <w:tcW w:w="9747" w:type="dxa"/>
            <w:gridSpan w:val="2"/>
            <w:shd w:val="clear" w:color="auto" w:fill="auto"/>
          </w:tcPr>
          <w:p w:rsidR="00FF5E27" w:rsidRPr="00FF5E27" w:rsidRDefault="00FF5E27" w:rsidP="00FF5E27">
            <w:pPr>
              <w:spacing w:after="0" w:line="240" w:lineRule="auto"/>
              <w:ind w:left="960" w:hanging="480"/>
              <w:jc w:val="both"/>
              <w:rPr>
                <w:rFonts w:ascii="Times New Roman" w:eastAsia="Times New Roman" w:hAnsi="Times New Roman" w:cs="Times New Roman"/>
                <w:b/>
                <w:bCs/>
                <w:color w:val="232323"/>
                <w:sz w:val="24"/>
                <w:szCs w:val="24"/>
                <w:lang w:val="ro-RO" w:eastAsia="ru-RU"/>
              </w:rPr>
            </w:pPr>
            <w:r w:rsidRPr="00FF5E27">
              <w:rPr>
                <w:rFonts w:ascii="Times New Roman" w:eastAsia="Times New Roman" w:hAnsi="Times New Roman" w:cs="Times New Roman"/>
                <w:b/>
                <w:bCs/>
                <w:color w:val="232323"/>
                <w:sz w:val="24"/>
                <w:szCs w:val="24"/>
                <w:lang w:val="ro-RO" w:eastAsia="ru-RU"/>
              </w:rPr>
              <w:lastRenderedPageBreak/>
              <w:t>Genotipul 4:</w:t>
            </w:r>
          </w:p>
        </w:tc>
      </w:tr>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lang w:val="ro-RO" w:eastAsia="ru-RU"/>
              </w:rPr>
              <w:t xml:space="preserve">Tratament naiv fără ciroză sau cu ciroză compensată: </w:t>
            </w:r>
          </w:p>
        </w:tc>
        <w:tc>
          <w:tcPr>
            <w:tcW w:w="5072" w:type="dxa"/>
            <w:shd w:val="clear" w:color="auto" w:fill="auto"/>
          </w:tcPr>
          <w:p w:rsidR="00FF5E27" w:rsidRPr="00FF5E27" w:rsidRDefault="00FF5E27" w:rsidP="00FF5E27">
            <w:pPr>
              <w:spacing w:after="0" w:line="240" w:lineRule="auto"/>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oral: 1 comprimat (elbasvirum 50 mg+ grazoprevirum* 100 mg) o dată pe zi timp de 12 săptămâni </w:t>
            </w:r>
          </w:p>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p>
        </w:tc>
      </w:tr>
      <w:tr w:rsidR="00FF5E27" w:rsidRPr="00D645AA" w:rsidTr="00FF5E27">
        <w:tc>
          <w:tcPr>
            <w:tcW w:w="4675"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Pacienți post-transplant renal, naivi sau cu experiență de antivirale cu acțiune indirectă, fără ciroză sau cu ciroză compensată (agent alternativ)*:</w:t>
            </w:r>
          </w:p>
        </w:tc>
        <w:tc>
          <w:tcPr>
            <w:tcW w:w="5072" w:type="dxa"/>
            <w:shd w:val="clear" w:color="auto" w:fill="auto"/>
          </w:tcPr>
          <w:p w:rsidR="00FF5E27" w:rsidRPr="00FF5E27" w:rsidRDefault="00FF5E27" w:rsidP="00FF5E27">
            <w:pPr>
              <w:spacing w:after="0" w:line="240" w:lineRule="auto"/>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lang w:val="ro-RO" w:eastAsia="ru-RU"/>
              </w:rPr>
              <w:t>Oral: 1 comprimat (elbasvirum 50 mg+ grazoprevirum* 100 mg) o dată pe zi, timp de 12 săptămâni.</w:t>
            </w:r>
          </w:p>
        </w:tc>
      </w:tr>
    </w:tbl>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i/>
          <w:iCs/>
          <w:color w:val="232323"/>
          <w:sz w:val="24"/>
          <w:szCs w:val="24"/>
          <w:lang w:val="ro-RO" w:eastAsia="ru-RU"/>
        </w:rPr>
        <w:t>Notă:</w:t>
      </w:r>
      <w:r w:rsidRPr="00FF5E27">
        <w:rPr>
          <w:rFonts w:ascii="Times New Roman" w:eastAsia="Times New Roman" w:hAnsi="Times New Roman" w:cs="Times New Roman"/>
          <w:color w:val="232323"/>
          <w:sz w:val="24"/>
          <w:szCs w:val="24"/>
          <w:lang w:val="ro-RO" w:eastAsia="ru-RU"/>
        </w:rPr>
        <w:t xml:space="preserve"> </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Elbasvirum*, un inhibitor NS5A și Grazoprevirum, un inhibitor de protează NS3/4A cu o barieră mare de rezistență, sunt coformulate într-o singură tablet</w:t>
      </w:r>
      <w:r w:rsidRPr="00FF5E27">
        <w:rPr>
          <w:rFonts w:ascii="Times New Roman" w:eastAsia="Times New Roman" w:hAnsi="Times New Roman" w:cs="Times New Roman"/>
          <w:sz w:val="24"/>
          <w:szCs w:val="24"/>
          <w:lang w:val="ro-RO" w:eastAsia="ru-RU"/>
        </w:rPr>
        <w:t xml:space="preserve">ă. </w:t>
      </w:r>
      <w:r w:rsidRPr="00FF5E27">
        <w:rPr>
          <w:rFonts w:ascii="Times New Roman" w:eastAsia="Times New Roman" w:hAnsi="Times New Roman" w:cs="Times New Roman"/>
          <w:color w:val="232323"/>
          <w:sz w:val="24"/>
          <w:szCs w:val="24"/>
          <w:shd w:val="clear" w:color="auto" w:fill="FFFFFF"/>
          <w:lang w:val="ro-RO" w:eastAsia="ru-RU"/>
        </w:rPr>
        <w:t>Comprimatul combinat constă din 50 mg elbasvirum* și 100 mg grazoprevirum* și se administrează o dată pe zi, cu sau fără alimente.</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Înainte de adminsitrarea </w:t>
      </w:r>
      <w:hyperlink r:id="rId91" w:history="1">
        <w:r w:rsidRPr="00FF5E27">
          <w:rPr>
            <w:rFonts w:ascii="Times New Roman" w:eastAsia="Times New Roman" w:hAnsi="Times New Roman" w:cs="Times New Roman"/>
            <w:sz w:val="24"/>
            <w:szCs w:val="24"/>
            <w:shd w:val="clear" w:color="auto" w:fill="FFFFFF"/>
            <w:lang w:val="ro-RO" w:eastAsia="ru-RU"/>
          </w:rPr>
          <w:t>elbasvirum*+grazoprevir</w:t>
        </w:r>
      </w:hyperlink>
      <w:r w:rsidRPr="00FF5E27">
        <w:rPr>
          <w:rFonts w:ascii="Times New Roman" w:eastAsia="Times New Roman" w:hAnsi="Times New Roman" w:cs="Times New Roman"/>
          <w:sz w:val="24"/>
          <w:szCs w:val="24"/>
          <w:lang w:val="ro-RO" w:eastAsia="ru-RU"/>
        </w:rPr>
        <w:t>um*</w:t>
      </w:r>
      <w:r w:rsidRPr="00FF5E27">
        <w:rPr>
          <w:rFonts w:ascii="Times New Roman" w:eastAsia="Times New Roman" w:hAnsi="Times New Roman" w:cs="Times New Roman"/>
          <w:sz w:val="24"/>
          <w:szCs w:val="24"/>
          <w:shd w:val="clear" w:color="auto" w:fill="FFFFFF"/>
          <w:lang w:val="ro-RO" w:eastAsia="ru-RU"/>
        </w:rPr>
        <w:t>,</w:t>
      </w:r>
      <w:r w:rsidRPr="00FF5E27">
        <w:rPr>
          <w:rFonts w:ascii="Times New Roman" w:eastAsia="Times New Roman" w:hAnsi="Times New Roman" w:cs="Times New Roman"/>
          <w:color w:val="232323"/>
          <w:sz w:val="24"/>
          <w:szCs w:val="24"/>
          <w:shd w:val="clear" w:color="auto" w:fill="FFFFFF"/>
          <w:lang w:val="ro-RO" w:eastAsia="ru-RU"/>
        </w:rPr>
        <w:t xml:space="preserve"> pacienții cu infecție de genotip </w:t>
      </w:r>
      <w:r w:rsidRPr="00FF5E27">
        <w:rPr>
          <w:rFonts w:ascii="Times New Roman" w:eastAsia="Times New Roman" w:hAnsi="Times New Roman" w:cs="Times New Roman"/>
          <w:b/>
          <w:bCs/>
          <w:i/>
          <w:iCs/>
          <w:color w:val="232323"/>
          <w:sz w:val="24"/>
          <w:szCs w:val="24"/>
          <w:shd w:val="clear" w:color="auto" w:fill="FFFFFF"/>
          <w:lang w:val="ro-RO" w:eastAsia="ru-RU"/>
        </w:rPr>
        <w:t>1a</w:t>
      </w:r>
      <w:r w:rsidRPr="00FF5E27">
        <w:rPr>
          <w:rFonts w:ascii="Times New Roman" w:eastAsia="Times New Roman" w:hAnsi="Times New Roman" w:cs="Times New Roman"/>
          <w:color w:val="232323"/>
          <w:sz w:val="24"/>
          <w:szCs w:val="24"/>
          <w:shd w:val="clear" w:color="auto" w:fill="FFFFFF"/>
          <w:lang w:val="ro-RO" w:eastAsia="ru-RU"/>
        </w:rPr>
        <w:t xml:space="preserve"> trebuie testați pentru prezența substituțiilor asociate cu rezistența la NS5A (RAS) și toți pacienții trebuie să aibă documentație privind aminotransferazele inițiale.</w:t>
      </w:r>
    </w:p>
    <w:p w:rsidR="00FF5E27" w:rsidRPr="00FF5E27" w:rsidRDefault="00FF5E27" w:rsidP="00461D8F">
      <w:pPr>
        <w:numPr>
          <w:ilvl w:val="0"/>
          <w:numId w:val="69"/>
        </w:numPr>
        <w:spacing w:before="100"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*Utilizare rezervată pentru pacienții </w:t>
      </w:r>
      <w:r w:rsidRPr="00FF5E27">
        <w:rPr>
          <w:rFonts w:ascii="Times New Roman" w:eastAsia="Times New Roman" w:hAnsi="Times New Roman" w:cs="Times New Roman"/>
          <w:b/>
          <w:bCs/>
          <w:color w:val="232323"/>
          <w:sz w:val="24"/>
          <w:szCs w:val="24"/>
          <w:lang w:val="ro-RO" w:eastAsia="ru-RU"/>
        </w:rPr>
        <w:t>fără</w:t>
      </w:r>
      <w:r w:rsidRPr="00FF5E27">
        <w:rPr>
          <w:rFonts w:ascii="Times New Roman" w:eastAsia="Times New Roman" w:hAnsi="Times New Roman" w:cs="Times New Roman"/>
          <w:color w:val="232323"/>
          <w:sz w:val="24"/>
          <w:szCs w:val="24"/>
          <w:lang w:val="ro-RO" w:eastAsia="ru-RU"/>
        </w:rPr>
        <w:t xml:space="preserve"> RAS NS5A inițial pentru elbasvirum* (AASLD/IDSA 2021).</w:t>
      </w:r>
    </w:p>
    <w:p w:rsidR="00FF5E27" w:rsidRPr="00FF5E27" w:rsidRDefault="00875399"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hyperlink r:id="rId92" w:history="1">
        <w:r w:rsidR="00FF5E27" w:rsidRPr="00FF5E27">
          <w:rPr>
            <w:rFonts w:ascii="Times New Roman" w:eastAsia="Times New Roman" w:hAnsi="Times New Roman" w:cs="Times New Roman"/>
            <w:sz w:val="24"/>
            <w:szCs w:val="24"/>
            <w:shd w:val="clear" w:color="auto" w:fill="FFFFFF"/>
            <w:lang w:val="ro-RO" w:eastAsia="ru-RU"/>
          </w:rPr>
          <w:t>Elbasvirum*+grazoprevir</w:t>
        </w:r>
      </w:hyperlink>
      <w:r w:rsidR="00FF5E27" w:rsidRPr="00FF5E27">
        <w:rPr>
          <w:rFonts w:ascii="Times New Roman" w:eastAsia="Times New Roman" w:hAnsi="Times New Roman" w:cs="Times New Roman"/>
          <w:sz w:val="24"/>
          <w:szCs w:val="24"/>
          <w:lang w:val="ro-RO" w:eastAsia="ru-RU"/>
        </w:rPr>
        <w:t xml:space="preserve">um* </w:t>
      </w:r>
      <w:r w:rsidR="00FF5E27" w:rsidRPr="00FF5E27">
        <w:rPr>
          <w:rFonts w:ascii="Times New Roman" w:eastAsia="Times New Roman" w:hAnsi="Times New Roman" w:cs="Times New Roman"/>
          <w:color w:val="232323"/>
          <w:sz w:val="24"/>
          <w:szCs w:val="24"/>
          <w:shd w:val="clear" w:color="auto" w:fill="FFFFFF"/>
          <w:lang w:val="ro-RO" w:eastAsia="ru-RU"/>
        </w:rPr>
        <w:t xml:space="preserve">poate fi utilizat la pacienții cu orice grad de insuficiență renală, inclusiv cei aflați pe dializă, fără a fi nevoie de modificări ale dozei. </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Regimul este contraindicat la pacienții cu ciroză Child-Pugh clasa B sau C.</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353535"/>
          <w:sz w:val="24"/>
          <w:szCs w:val="24"/>
          <w:bdr w:val="none" w:sz="0" w:space="0" w:color="auto" w:frame="1"/>
          <w:lang w:val="ro-RO" w:eastAsia="ru-RU"/>
        </w:rPr>
        <w:t>Dozare: Insuficiență renală: Adult</w:t>
      </w:r>
    </w:p>
    <w:p w:rsidR="00FF5E27" w:rsidRPr="00FF5E27" w:rsidRDefault="00FF5E27" w:rsidP="00461D8F">
      <w:pPr>
        <w:numPr>
          <w:ilvl w:val="0"/>
          <w:numId w:val="87"/>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CrCl &gt;50 ml/minut: nu este necesară ajustarea dozei.</w:t>
      </w:r>
    </w:p>
    <w:p w:rsidR="00FF5E27" w:rsidRPr="00FF5E27" w:rsidRDefault="00FF5E27" w:rsidP="00461D8F">
      <w:pPr>
        <w:numPr>
          <w:ilvl w:val="0"/>
          <w:numId w:val="87"/>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CrCl ≤50 ml/minut: nu este necesară ajustarea dozei. Dacă este utilizat cu ribavirinum* concomitentă, consultați monografia ribavirinum* pentru ajustări ale dozelor.</w:t>
      </w:r>
    </w:p>
    <w:p w:rsidR="00FF5E27" w:rsidRPr="00FF5E27" w:rsidRDefault="00FF5E27" w:rsidP="00461D8F">
      <w:pPr>
        <w:numPr>
          <w:ilvl w:val="0"/>
          <w:numId w:val="87"/>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Boală renală în stadiu terminal și hemodializă (nu se îndepărtează prin hemodializă): nu este necesară ajustarea dozei.</w:t>
      </w:r>
    </w:p>
    <w:p w:rsidR="00FF5E27" w:rsidRPr="00FF5E27" w:rsidRDefault="00FF5E27" w:rsidP="00461D8F">
      <w:pPr>
        <w:numPr>
          <w:ilvl w:val="0"/>
          <w:numId w:val="6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b/>
          <w:bCs/>
          <w:color w:val="353535"/>
          <w:sz w:val="24"/>
          <w:szCs w:val="24"/>
          <w:bdr w:val="none" w:sz="0" w:space="0" w:color="auto" w:frame="1"/>
          <w:lang w:val="ro-RO" w:eastAsia="ru-RU"/>
        </w:rPr>
        <w:t>Dozare: Insuficiență hepatică: Adult</w:t>
      </w:r>
    </w:p>
    <w:p w:rsidR="00FF5E27" w:rsidRPr="00FF5E27" w:rsidRDefault="00FF5E27" w:rsidP="00461D8F">
      <w:pPr>
        <w:numPr>
          <w:ilvl w:val="0"/>
          <w:numId w:val="84"/>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i/>
          <w:iCs/>
          <w:color w:val="232323"/>
          <w:sz w:val="24"/>
          <w:szCs w:val="24"/>
          <w:lang w:val="ro-RO" w:eastAsia="ru-RU"/>
        </w:rPr>
        <w:t>Insuficiență hepatică preexistentă:</w:t>
      </w:r>
    </w:p>
    <w:p w:rsidR="00FF5E27" w:rsidRPr="00FF5E27" w:rsidRDefault="00FF5E27" w:rsidP="00461D8F">
      <w:pPr>
        <w:numPr>
          <w:ilvl w:val="0"/>
          <w:numId w:val="88"/>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Insuficiență ușoară (clasa Child-Pugh A): Nu este necesară ajustarea dozei.</w:t>
      </w:r>
    </w:p>
    <w:p w:rsidR="00FF5E27" w:rsidRPr="00FF5E27" w:rsidRDefault="00FF5E27" w:rsidP="00461D8F">
      <w:pPr>
        <w:numPr>
          <w:ilvl w:val="0"/>
          <w:numId w:val="88"/>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Insuficiență moderată sau severă (clasa Child-Pugh B sau C) sau decompensare hepatică anterioară: Utilizarea este contraindicată.</w:t>
      </w:r>
    </w:p>
    <w:p w:rsidR="00FF5E27" w:rsidRPr="00FF5E27" w:rsidRDefault="00FF5E27" w:rsidP="00461D8F">
      <w:pPr>
        <w:numPr>
          <w:ilvl w:val="0"/>
          <w:numId w:val="84"/>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i/>
          <w:iCs/>
          <w:color w:val="232323"/>
          <w:sz w:val="24"/>
          <w:szCs w:val="24"/>
          <w:lang w:val="ro-RO" w:eastAsia="ru-RU"/>
        </w:rPr>
        <w:t>Hepatotoxicitate în timpul tratamentului:</w:t>
      </w:r>
    </w:p>
    <w:p w:rsidR="00FF5E27" w:rsidRPr="00FF5E27" w:rsidRDefault="00FF5E27" w:rsidP="00461D8F">
      <w:pPr>
        <w:numPr>
          <w:ilvl w:val="0"/>
          <w:numId w:val="8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Creșteri asimptomatice ale ALT &lt;10 ori: monitorizați îndeaproape cu repetarea testelor la fiecare 2 săptămâni. Dacă creșterea persistentă rămâne, luați în considerare oprirea terapiei </w:t>
      </w:r>
    </w:p>
    <w:p w:rsidR="00FF5E27" w:rsidRPr="00FF5E27" w:rsidRDefault="00FF5E27" w:rsidP="00461D8F">
      <w:pPr>
        <w:numPr>
          <w:ilvl w:val="0"/>
          <w:numId w:val="8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Creștere &lt;10 ori a ALT față de valoarea inițială cu slăbiciune, greață, vărsături, icter sau creștere semnificativă a bilirubinei, fosfatazei alcaline sau INR: întrerupeți administrarea antiviralelor cu acțiune directă </w:t>
      </w:r>
    </w:p>
    <w:p w:rsidR="00FF5E27" w:rsidRPr="00FF5E27" w:rsidRDefault="00FF5E27" w:rsidP="00461D8F">
      <w:pPr>
        <w:numPr>
          <w:ilvl w:val="0"/>
          <w:numId w:val="89"/>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Creștere de ≥10 ori a ALT față de valoarea inițială în orice moment în timpul tratamentului: întrerupeți terapia antiviral cu acțiune directă, în special cu semne și simptome de inflamație hepatică sau creșterea bilirubinei conjugate, fosfatazei alcaline sau INR </w:t>
      </w:r>
    </w:p>
    <w:p w:rsidR="00FF5E27" w:rsidRPr="00FF5E27" w:rsidRDefault="00FF5E27" w:rsidP="00FF5E27">
      <w:pPr>
        <w:shd w:val="clear" w:color="auto" w:fill="FFFFFF"/>
        <w:spacing w:after="0" w:line="240" w:lineRule="auto"/>
        <w:jc w:val="both"/>
        <w:rPr>
          <w:rFonts w:ascii="Times New Roman" w:eastAsia="Times New Roman" w:hAnsi="Times New Roman" w:cs="Times New Roman"/>
          <w:b/>
          <w:bCs/>
          <w:color w:val="232323"/>
          <w:sz w:val="24"/>
          <w:szCs w:val="24"/>
          <w:lang w:val="ro-RO" w:eastAsia="ru-RU"/>
        </w:rPr>
      </w:pPr>
      <w:r w:rsidRPr="00FF5E27">
        <w:rPr>
          <w:rFonts w:ascii="Times New Roman" w:eastAsia="Times New Roman" w:hAnsi="Times New Roman" w:cs="Times New Roman"/>
          <w:b/>
          <w:bCs/>
          <w:color w:val="232323"/>
          <w:sz w:val="24"/>
          <w:szCs w:val="24"/>
          <w:lang w:val="ro-RO" w:eastAsia="ru-RU"/>
        </w:rPr>
        <w:t xml:space="preserve">Tabelul </w:t>
      </w:r>
      <w:r w:rsidR="00955272">
        <w:rPr>
          <w:rFonts w:ascii="Times New Roman" w:eastAsia="Times New Roman" w:hAnsi="Times New Roman" w:cs="Times New Roman"/>
          <w:b/>
          <w:bCs/>
          <w:color w:val="232323"/>
          <w:sz w:val="24"/>
          <w:szCs w:val="24"/>
          <w:lang w:val="ro-RO" w:eastAsia="ru-RU"/>
        </w:rPr>
        <w:t>17</w:t>
      </w:r>
      <w:r w:rsidRPr="00FF5E27">
        <w:rPr>
          <w:rFonts w:ascii="Times New Roman" w:eastAsia="Times New Roman" w:hAnsi="Times New Roman" w:cs="Times New Roman"/>
          <w:b/>
          <w:bCs/>
          <w:color w:val="232323"/>
          <w:sz w:val="24"/>
          <w:szCs w:val="24"/>
          <w:lang w:val="ro-RO" w:eastAsia="ru-RU"/>
        </w:rPr>
        <w:t>. Regimul genotip-specific ledipasvir</w:t>
      </w:r>
      <w:r w:rsidRPr="00FF5E27">
        <w:rPr>
          <w:rFonts w:ascii="Times New Roman" w:eastAsia="Times New Roman" w:hAnsi="Times New Roman" w:cs="Times New Roman"/>
          <w:b/>
          <w:bCs/>
          <w:color w:val="232323"/>
          <w:sz w:val="24"/>
          <w:szCs w:val="24"/>
          <w:shd w:val="clear" w:color="auto" w:fill="FFFFFF"/>
          <w:lang w:val="ro-RO" w:eastAsia="ru-RU"/>
        </w:rPr>
        <w:t xml:space="preserve">um + </w:t>
      </w:r>
      <w:r w:rsidRPr="00FF5E27">
        <w:rPr>
          <w:rFonts w:ascii="Times New Roman" w:eastAsia="Times New Roman" w:hAnsi="Times New Roman" w:cs="Times New Roman"/>
          <w:b/>
          <w:bCs/>
          <w:color w:val="232323"/>
          <w:sz w:val="24"/>
          <w:szCs w:val="24"/>
          <w:lang w:val="ro-RO" w:eastAsia="ru-RU"/>
        </w:rPr>
        <w:t>sofosbuvir</w:t>
      </w:r>
      <w:r w:rsidRPr="00FF5E27">
        <w:rPr>
          <w:rFonts w:ascii="Times New Roman" w:eastAsia="Times New Roman" w:hAnsi="Times New Roman" w:cs="Times New Roman"/>
          <w:b/>
          <w:bCs/>
          <w:color w:val="232323"/>
          <w:sz w:val="24"/>
          <w:szCs w:val="24"/>
          <w:shd w:val="clear" w:color="auto" w:fill="FFFFFF"/>
          <w:lang w:val="ro-RO" w:eastAsia="ru-RU"/>
        </w:rPr>
        <w:t>um*</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 xml:space="preserve"> </w:t>
      </w:r>
      <w:hyperlink r:id="rId93" w:history="1">
        <w:r w:rsidRPr="00FF5E27">
          <w:rPr>
            <w:rFonts w:ascii="Times New Roman" w:eastAsia="Times New Roman" w:hAnsi="Times New Roman" w:cs="Times New Roman"/>
            <w:color w:val="0000FF"/>
            <w:sz w:val="24"/>
            <w:szCs w:val="24"/>
            <w:u w:val="single"/>
            <w:lang w:val="ro-RO" w:eastAsia="ru-RU"/>
          </w:rPr>
          <w:t>https://www.hepatitisc.uw.edu/page/treatment/drugs/ledipasvir-sofosbuvir</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814"/>
      </w:tblGrid>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lastRenderedPageBreak/>
              <w:t xml:space="preserve">Indicații de tratament al infecției cronice cu VHC cu regimul genotipic-specific </w:t>
            </w:r>
            <w:r w:rsidRPr="00FF5E27">
              <w:rPr>
                <w:rFonts w:ascii="Times New Roman" w:eastAsia="Times New Roman" w:hAnsi="Times New Roman" w:cs="Times New Roman"/>
                <w:b/>
                <w:bCs/>
                <w:color w:val="333333"/>
                <w:sz w:val="24"/>
                <w:szCs w:val="24"/>
                <w:shd w:val="clear" w:color="auto" w:fill="FFFFFF"/>
                <w:lang w:val="ro-RO" w:eastAsia="ru-RU"/>
              </w:rPr>
              <w:t xml:space="preserve">ledipasvirum 90 mg+ sofosbuvirum* 400 mg </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b/>
                <w:bCs/>
                <w:sz w:val="24"/>
                <w:szCs w:val="24"/>
                <w:lang w:val="ro-RO" w:eastAsia="ru-RU"/>
              </w:rPr>
              <w:t>Posologia</w:t>
            </w:r>
          </w:p>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Comprimatul combinat cu doza fixă este format din </w:t>
            </w:r>
            <w:r w:rsidRPr="00FF5E27">
              <w:rPr>
                <w:rFonts w:ascii="Times New Roman" w:eastAsia="Times New Roman" w:hAnsi="Times New Roman" w:cs="Times New Roman"/>
                <w:color w:val="333333"/>
                <w:sz w:val="24"/>
                <w:szCs w:val="24"/>
                <w:shd w:val="clear" w:color="auto" w:fill="FFFFFF"/>
                <w:lang w:val="ro-RO" w:eastAsia="ru-RU"/>
              </w:rPr>
              <w:t>ledipasvirum* 90 mg și 400 mg. Doza recomandată este de un comprimat o dată pe zi, cu sau fără alimente.</w:t>
            </w:r>
          </w:p>
        </w:tc>
      </w:tr>
      <w:tr w:rsidR="00FF5E27" w:rsidRPr="00FF5E27" w:rsidTr="00FF5E27">
        <w:tc>
          <w:tcPr>
            <w:tcW w:w="9350" w:type="dxa"/>
            <w:gridSpan w:val="2"/>
            <w:shd w:val="clear" w:color="auto" w:fill="auto"/>
          </w:tcPr>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color w:val="333333"/>
                <w:sz w:val="24"/>
                <w:szCs w:val="24"/>
                <w:u w:val="single"/>
                <w:shd w:val="clear" w:color="auto" w:fill="FFFFFF"/>
                <w:lang w:val="ro-RO" w:eastAsia="ru-RU"/>
              </w:rPr>
              <w:t>Genotipul 1</w:t>
            </w:r>
          </w:p>
        </w:tc>
      </w:tr>
      <w:tr w:rsidR="00FF5E27" w:rsidRPr="00FF5E27"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333333"/>
                <w:sz w:val="24"/>
                <w:szCs w:val="24"/>
                <w:shd w:val="clear" w:color="auto" w:fill="FFFFFF"/>
                <w:lang w:val="ro-RO" w:eastAsia="ru-RU"/>
              </w:rPr>
              <w:t>Pacienți netratați fără ciroză sau cu ciroză compensată (Child-Pugh A):</w:t>
            </w:r>
            <w:r w:rsidRPr="00FF5E27">
              <w:rPr>
                <w:rFonts w:ascii="Times New Roman" w:eastAsia="Times New Roman" w:hAnsi="Times New Roman" w:cs="Times New Roman"/>
                <w:color w:val="333333"/>
                <w:sz w:val="24"/>
                <w:szCs w:val="24"/>
                <w:u w:val="single"/>
                <w:shd w:val="clear" w:color="auto" w:fill="FFFFFF"/>
                <w:lang w:val="ro-RO" w:eastAsia="ru-RU"/>
              </w:rPr>
              <w:t xml:space="preserve"> </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sz w:val="24"/>
                <w:szCs w:val="24"/>
                <w:lang w:val="ro-RO" w:eastAsia="ru-RU"/>
              </w:rPr>
            </w:pPr>
            <w:r w:rsidRPr="00FF5E27">
              <w:rPr>
                <w:rFonts w:ascii="Times New Roman" w:eastAsia="Times New Roman" w:hAnsi="Times New Roman" w:cs="Times New Roman"/>
                <w:color w:val="333333"/>
                <w:sz w:val="24"/>
                <w:szCs w:val="24"/>
                <w:shd w:val="clear" w:color="auto" w:fill="FFFFFF"/>
                <w:lang w:val="ro-RO" w:eastAsia="ru-RU"/>
              </w:rPr>
              <w:t>Ledipasvir</w:t>
            </w:r>
            <w:r w:rsidRPr="00FF5E27">
              <w:rPr>
                <w:rFonts w:ascii="Times New Roman" w:eastAsia="Times New Roman" w:hAnsi="Times New Roman" w:cs="Times New Roman"/>
                <w:bCs/>
                <w:color w:val="232323"/>
                <w:sz w:val="24"/>
                <w:szCs w:val="24"/>
                <w:shd w:val="clear" w:color="auto" w:fill="FFFFFF"/>
                <w:lang w:val="ro-RO" w:eastAsia="ru-RU"/>
              </w:rPr>
              <w:t xml:space="preserve">um + </w:t>
            </w:r>
            <w:r w:rsidRPr="00FF5E27">
              <w:rPr>
                <w:rFonts w:ascii="Times New Roman" w:eastAsia="Times New Roman" w:hAnsi="Times New Roman" w:cs="Times New Roman"/>
                <w:color w:val="333333"/>
                <w:sz w:val="24"/>
                <w:szCs w:val="24"/>
                <w:shd w:val="clear" w:color="auto" w:fill="FFFFFF"/>
                <w:lang w:val="ro-RO" w:eastAsia="ru-RU"/>
              </w:rPr>
              <w:t>sofosbuvir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color w:val="333333"/>
                <w:sz w:val="24"/>
                <w:szCs w:val="24"/>
                <w:shd w:val="clear" w:color="auto" w:fill="FFFFFF"/>
                <w:lang w:val="ro-RO" w:eastAsia="ru-RU"/>
              </w:rPr>
              <w:t xml:space="preserve"> x 12 săptămâni</w:t>
            </w:r>
          </w:p>
        </w:tc>
      </w:tr>
      <w:tr w:rsidR="00FF5E27" w:rsidRPr="00FF5E27"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b/>
                <w:bCs/>
                <w:i/>
                <w:i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shd w:val="clear" w:color="auto" w:fill="FFFFFF"/>
                <w:lang w:val="ro-RO" w:eastAsia="ru-RU"/>
              </w:rPr>
              <w:t xml:space="preserve">Pacienți cu experiență în tratament** fără ciroză: </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shd w:val="clear" w:color="auto" w:fill="FFFFFF"/>
                <w:lang w:val="ro-RO" w:eastAsia="ru-RU"/>
              </w:rPr>
              <w:t>Ledipasvirum + sofosbuvirum* x 12 săptămâni</w:t>
            </w:r>
          </w:p>
        </w:tc>
      </w:tr>
      <w:tr w:rsidR="00FF5E27" w:rsidRPr="00FF5E27"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b/>
                <w:bCs/>
                <w:i/>
                <w:i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shd w:val="clear" w:color="auto" w:fill="FFFFFF"/>
                <w:lang w:val="ro-RO" w:eastAsia="ru-RU"/>
              </w:rPr>
              <w:t>Pacienți cu ciroză compensată cu experiență în tratament** (Child-Pugh A):</w:t>
            </w:r>
            <w:r w:rsidRPr="00FF5E27">
              <w:rPr>
                <w:rFonts w:ascii="Times New Roman" w:eastAsia="Times New Roman" w:hAnsi="Times New Roman" w:cs="Times New Roman"/>
                <w:color w:val="333333"/>
                <w:sz w:val="24"/>
                <w:szCs w:val="24"/>
                <w:u w:val="single"/>
                <w:shd w:val="clear" w:color="auto" w:fill="FFFFFF"/>
                <w:lang w:val="ro-RO" w:eastAsia="ru-RU"/>
              </w:rPr>
              <w:t xml:space="preserve"> </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shd w:val="clear" w:color="auto" w:fill="FFFFFF"/>
                <w:lang w:val="ro-RO" w:eastAsia="ru-RU"/>
              </w:rPr>
              <w:t>Ledipasvir</w:t>
            </w:r>
            <w:r w:rsidRPr="00FF5E27">
              <w:rPr>
                <w:rFonts w:ascii="Times New Roman" w:eastAsia="Times New Roman" w:hAnsi="Times New Roman" w:cs="Times New Roman"/>
                <w:bCs/>
                <w:color w:val="232323"/>
                <w:sz w:val="24"/>
                <w:szCs w:val="24"/>
                <w:shd w:val="clear" w:color="auto" w:fill="FFFFFF"/>
                <w:lang w:val="ro-RO" w:eastAsia="ru-RU"/>
              </w:rPr>
              <w:t xml:space="preserve">um + </w:t>
            </w:r>
            <w:r w:rsidRPr="00FF5E27">
              <w:rPr>
                <w:rFonts w:ascii="Times New Roman" w:eastAsia="Times New Roman" w:hAnsi="Times New Roman" w:cs="Times New Roman"/>
                <w:color w:val="333333"/>
                <w:sz w:val="24"/>
                <w:szCs w:val="24"/>
                <w:shd w:val="clear" w:color="auto" w:fill="FFFFFF"/>
                <w:lang w:val="ro-RO" w:eastAsia="ru-RU"/>
              </w:rPr>
              <w:t>sofosbuvir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color w:val="333333"/>
                <w:sz w:val="24"/>
                <w:szCs w:val="24"/>
                <w:shd w:val="clear" w:color="auto" w:fill="FFFFFF"/>
                <w:lang w:val="ro-RO" w:eastAsia="ru-RU"/>
              </w:rPr>
              <w:t xml:space="preserve"> x 24 săptămâni </w:t>
            </w:r>
            <w:r w:rsidRPr="00FF5E27">
              <w:rPr>
                <w:rFonts w:ascii="Times New Roman" w:eastAsia="Times New Roman" w:hAnsi="Times New Roman" w:cs="Times New Roman"/>
                <w:color w:val="333333"/>
                <w:sz w:val="24"/>
                <w:szCs w:val="24"/>
                <w:shd w:val="clear" w:color="auto" w:fill="FFFFFF"/>
                <w:vertAlign w:val="superscript"/>
                <w:lang w:val="ro-RO" w:eastAsia="ru-RU"/>
              </w:rPr>
              <w:t>†</w:t>
            </w:r>
          </w:p>
        </w:tc>
      </w:tr>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b/>
                <w:bCs/>
                <w:i/>
                <w:i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shd w:val="clear" w:color="auto" w:fill="FFFFFF"/>
                <w:lang w:val="ro-RO" w:eastAsia="ru-RU"/>
              </w:rPr>
              <w:t>Pacienți care nu au primit tratament și pacienți cu experiență la tratament**, cu ciroză decompensată (Child-Pugh B sau C)</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shd w:val="clear" w:color="auto" w:fill="FFFFFF"/>
                <w:lang w:val="ro-RO" w:eastAsia="ru-RU"/>
              </w:rPr>
              <w:t>Ledipasvir</w:t>
            </w:r>
            <w:r w:rsidRPr="00FF5E27">
              <w:rPr>
                <w:rFonts w:ascii="Times New Roman" w:eastAsia="Times New Roman" w:hAnsi="Times New Roman" w:cs="Times New Roman"/>
                <w:bCs/>
                <w:color w:val="232323"/>
                <w:sz w:val="24"/>
                <w:szCs w:val="24"/>
                <w:shd w:val="clear" w:color="auto" w:fill="FFFFFF"/>
                <w:lang w:val="ro-RO" w:eastAsia="ru-RU"/>
              </w:rPr>
              <w:t xml:space="preserve">um + </w:t>
            </w:r>
            <w:r w:rsidRPr="00FF5E27">
              <w:rPr>
                <w:rFonts w:ascii="Times New Roman" w:eastAsia="Times New Roman" w:hAnsi="Times New Roman" w:cs="Times New Roman"/>
                <w:color w:val="333333"/>
                <w:sz w:val="24"/>
                <w:szCs w:val="24"/>
                <w:shd w:val="clear" w:color="auto" w:fill="FFFFFF"/>
                <w:lang w:val="ro-RO" w:eastAsia="ru-RU"/>
              </w:rPr>
              <w:t>sofosbuvir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color w:val="333333"/>
                <w:sz w:val="24"/>
                <w:szCs w:val="24"/>
                <w:shd w:val="clear" w:color="auto" w:fill="FFFFFF"/>
                <w:lang w:val="ro-RO" w:eastAsia="ru-RU"/>
              </w:rPr>
              <w:t xml:space="preserve"> plus ribavirinum* x 12 săptămâni.</w:t>
            </w:r>
          </w:p>
        </w:tc>
      </w:tr>
      <w:tr w:rsidR="00FF5E27" w:rsidRPr="00FF5E27" w:rsidTr="00FF5E27">
        <w:tc>
          <w:tcPr>
            <w:tcW w:w="9350" w:type="dxa"/>
            <w:gridSpan w:val="2"/>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u w:val="single"/>
                <w:shd w:val="clear" w:color="auto" w:fill="FFFFFF"/>
                <w:lang w:val="ro-RO" w:eastAsia="ru-RU"/>
              </w:rPr>
              <w:t>Genotipul 1 sau 4</w:t>
            </w:r>
          </w:p>
        </w:tc>
      </w:tr>
      <w:tr w:rsidR="00FF5E27" w:rsidRPr="00D645AA" w:rsidTr="00FF5E27">
        <w:tc>
          <w:tcPr>
            <w:tcW w:w="4503" w:type="dxa"/>
            <w:shd w:val="clear" w:color="auto" w:fill="auto"/>
          </w:tcPr>
          <w:p w:rsidR="00FF5E27" w:rsidRPr="00FF5E27" w:rsidRDefault="00FF5E27" w:rsidP="00FF5E27">
            <w:pPr>
              <w:shd w:val="clear" w:color="auto" w:fill="FFFFFF"/>
              <w:spacing w:after="0" w:line="240" w:lineRule="auto"/>
              <w:rPr>
                <w:rFonts w:ascii="Times New Roman" w:eastAsia="Times New Roman" w:hAnsi="Times New Roman" w:cs="Times New Roman"/>
                <w:b/>
                <w:bCs/>
                <w:i/>
                <w:i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shd w:val="clear" w:color="auto" w:fill="FFFFFF"/>
                <w:lang w:val="ro-RO" w:eastAsia="ru-RU"/>
              </w:rPr>
              <w:t xml:space="preserve">Pacienți </w:t>
            </w:r>
            <w:r w:rsidRPr="00FF5E27">
              <w:rPr>
                <w:rFonts w:ascii="Times New Roman" w:eastAsia="Times New Roman" w:hAnsi="Times New Roman" w:cs="Times New Roman"/>
                <w:color w:val="232323"/>
                <w:sz w:val="24"/>
                <w:szCs w:val="24"/>
                <w:shd w:val="clear" w:color="auto" w:fill="FFFFFF"/>
                <w:lang w:val="ro-RO" w:eastAsia="ru-RU"/>
              </w:rPr>
              <w:t xml:space="preserve">primitorii de transplant hepatic, </w:t>
            </w:r>
            <w:r w:rsidRPr="00FF5E27">
              <w:rPr>
                <w:rFonts w:ascii="Times New Roman" w:eastAsia="Times New Roman" w:hAnsi="Times New Roman" w:cs="Times New Roman"/>
                <w:color w:val="333333"/>
                <w:sz w:val="24"/>
                <w:szCs w:val="24"/>
                <w:shd w:val="clear" w:color="auto" w:fill="FFFFFF"/>
                <w:lang w:val="ro-RO" w:eastAsia="ru-RU"/>
              </w:rPr>
              <w:t xml:space="preserve">care nu au primit tratament și pacienți cu experiență la tratament**, </w:t>
            </w:r>
            <w:r w:rsidRPr="00FF5E27">
              <w:rPr>
                <w:rFonts w:ascii="Times New Roman" w:eastAsia="Times New Roman" w:hAnsi="Times New Roman" w:cs="Times New Roman"/>
                <w:color w:val="232323"/>
                <w:sz w:val="24"/>
                <w:szCs w:val="24"/>
                <w:shd w:val="clear" w:color="auto" w:fill="FFFFFF"/>
                <w:lang w:val="ro-RO" w:eastAsia="ru-RU"/>
              </w:rPr>
              <w:t>fără ciroză sau cu ciroză compensată (Child-Pugh A):</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lang w:val="ro-RO" w:eastAsia="ru-RU"/>
              </w:rPr>
              <w:t>Ledipasvir</w:t>
            </w:r>
            <w:r w:rsidRPr="00FF5E27">
              <w:rPr>
                <w:rFonts w:ascii="Times New Roman" w:eastAsia="Times New Roman" w:hAnsi="Times New Roman" w:cs="Times New Roman"/>
                <w:bCs/>
                <w:color w:val="232323"/>
                <w:sz w:val="24"/>
                <w:szCs w:val="24"/>
                <w:shd w:val="clear" w:color="auto" w:fill="FFFFFF"/>
                <w:lang w:val="ro-RO" w:eastAsia="ru-RU"/>
              </w:rPr>
              <w:t xml:space="preserve">um + </w:t>
            </w:r>
            <w:r w:rsidRPr="00FF5E27">
              <w:rPr>
                <w:rFonts w:ascii="Times New Roman" w:eastAsia="Times New Roman" w:hAnsi="Times New Roman" w:cs="Times New Roman"/>
                <w:color w:val="333333"/>
                <w:sz w:val="24"/>
                <w:szCs w:val="24"/>
                <w:lang w:val="ro-RO" w:eastAsia="ru-RU"/>
              </w:rPr>
              <w:t>sofosbuvir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color w:val="333333"/>
                <w:sz w:val="24"/>
                <w:szCs w:val="24"/>
                <w:lang w:val="ro-RO" w:eastAsia="ru-RU"/>
              </w:rPr>
              <w:t xml:space="preserve"> plus ribavirinum* x 12 săptămâni.</w:t>
            </w:r>
          </w:p>
        </w:tc>
      </w:tr>
      <w:tr w:rsidR="00FF5E27" w:rsidRPr="00FF5E27" w:rsidTr="00FF5E27">
        <w:tc>
          <w:tcPr>
            <w:tcW w:w="9350" w:type="dxa"/>
            <w:gridSpan w:val="2"/>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u w:val="single"/>
                <w:shd w:val="clear" w:color="auto" w:fill="FFFFFF"/>
                <w:lang w:val="ro-RO" w:eastAsia="ru-RU"/>
              </w:rPr>
              <w:t>Genotipul 4, 5 sau 6</w:t>
            </w:r>
          </w:p>
        </w:tc>
      </w:tr>
      <w:tr w:rsidR="00FF5E27" w:rsidRPr="00D645AA" w:rsidTr="00FF5E27">
        <w:tc>
          <w:tcPr>
            <w:tcW w:w="4503" w:type="dxa"/>
            <w:shd w:val="clear" w:color="auto" w:fill="auto"/>
          </w:tcPr>
          <w:p w:rsidR="00FF5E27" w:rsidRPr="00FF5E27" w:rsidRDefault="00FF5E27" w:rsidP="00FF5E27">
            <w:pPr>
              <w:spacing w:after="0" w:line="240" w:lineRule="auto"/>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shd w:val="clear" w:color="auto" w:fill="FFFFFF"/>
                <w:lang w:val="ro-RO" w:eastAsia="ru-RU"/>
              </w:rPr>
              <w:t>Pacienți ** care nu au primit tratament anterior și pacienții care au experimentat tratament fără ciroză sau cu ciroză compensată (Child-Pugh A):</w:t>
            </w:r>
          </w:p>
        </w:tc>
        <w:tc>
          <w:tcPr>
            <w:tcW w:w="4847" w:type="dxa"/>
            <w:shd w:val="clear" w:color="auto" w:fill="auto"/>
          </w:tcPr>
          <w:p w:rsidR="00FF5E27" w:rsidRPr="00FF5E27" w:rsidRDefault="00FF5E27" w:rsidP="00FF5E27">
            <w:pPr>
              <w:spacing w:after="0" w:line="240" w:lineRule="auto"/>
              <w:rPr>
                <w:rFonts w:ascii="Times New Roman" w:eastAsia="Times New Roman" w:hAnsi="Times New Roman" w:cs="Times New Roman"/>
                <w:b/>
                <w:bCs/>
                <w:color w:val="232323"/>
                <w:sz w:val="24"/>
                <w:szCs w:val="24"/>
                <w:shd w:val="clear" w:color="auto" w:fill="FFFFFF"/>
                <w:lang w:val="ro-RO" w:eastAsia="ru-RU"/>
              </w:rPr>
            </w:pPr>
            <w:r w:rsidRPr="00FF5E27">
              <w:rPr>
                <w:rFonts w:ascii="Times New Roman" w:eastAsia="Times New Roman" w:hAnsi="Times New Roman" w:cs="Times New Roman"/>
                <w:color w:val="333333"/>
                <w:sz w:val="24"/>
                <w:szCs w:val="24"/>
                <w:shd w:val="clear" w:color="auto" w:fill="FFFFFF"/>
                <w:lang w:val="ro-RO" w:eastAsia="ru-RU"/>
              </w:rPr>
              <w:t>Ledipasvir</w:t>
            </w:r>
            <w:r w:rsidRPr="00FF5E27">
              <w:rPr>
                <w:rFonts w:ascii="Times New Roman" w:eastAsia="Times New Roman" w:hAnsi="Times New Roman" w:cs="Times New Roman"/>
                <w:bCs/>
                <w:color w:val="232323"/>
                <w:sz w:val="24"/>
                <w:szCs w:val="24"/>
                <w:shd w:val="clear" w:color="auto" w:fill="FFFFFF"/>
                <w:lang w:val="ro-RO" w:eastAsia="ru-RU"/>
              </w:rPr>
              <w:t xml:space="preserve">um + </w:t>
            </w:r>
            <w:r w:rsidRPr="00FF5E27">
              <w:rPr>
                <w:rFonts w:ascii="Times New Roman" w:eastAsia="Times New Roman" w:hAnsi="Times New Roman" w:cs="Times New Roman"/>
                <w:color w:val="333333"/>
                <w:sz w:val="24"/>
                <w:szCs w:val="24"/>
                <w:shd w:val="clear" w:color="auto" w:fill="FFFFFF"/>
                <w:lang w:val="ro-RO" w:eastAsia="ru-RU"/>
              </w:rPr>
              <w:t>sofosbuvir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color w:val="333333"/>
                <w:sz w:val="24"/>
                <w:szCs w:val="24"/>
                <w:shd w:val="clear" w:color="auto" w:fill="FFFFFF"/>
                <w:lang w:val="ro-RO" w:eastAsia="ru-RU"/>
              </w:rPr>
              <w:t xml:space="preserve"> plus ribavirinum* x 12 săptămâni </w:t>
            </w:r>
          </w:p>
        </w:tc>
      </w:tr>
    </w:tbl>
    <w:p w:rsidR="00FF5E27" w:rsidRPr="00FF5E27" w:rsidRDefault="00FF5E27" w:rsidP="00FF5E27">
      <w:pPr>
        <w:shd w:val="clear" w:color="auto" w:fill="FFFFFF"/>
        <w:spacing w:after="0" w:line="240" w:lineRule="auto"/>
        <w:ind w:left="360" w:right="300"/>
        <w:jc w:val="both"/>
        <w:rPr>
          <w:rFonts w:ascii="Times New Roman" w:eastAsia="Times New Roman" w:hAnsi="Times New Roman" w:cs="Times New Roman"/>
          <w:b/>
          <w:bCs/>
          <w:color w:val="232323"/>
          <w:sz w:val="24"/>
          <w:szCs w:val="24"/>
          <w:lang w:val="ro-RO"/>
        </w:rPr>
      </w:pP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333333"/>
          <w:sz w:val="24"/>
          <w:szCs w:val="24"/>
          <w:lang w:val="ro-RO" w:eastAsia="ru-RU"/>
        </w:rPr>
      </w:pPr>
      <w:r w:rsidRPr="00FF5E27">
        <w:rPr>
          <w:rFonts w:ascii="Times New Roman" w:eastAsia="Times New Roman" w:hAnsi="Times New Roman" w:cs="Times New Roman"/>
          <w:b/>
          <w:bCs/>
          <w:i/>
          <w:iCs/>
          <w:sz w:val="24"/>
          <w:szCs w:val="24"/>
          <w:lang w:val="ro-RO" w:eastAsia="ru-RU"/>
        </w:rPr>
        <w:t>Note:</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color w:val="333333"/>
          <w:sz w:val="24"/>
          <w:szCs w:val="24"/>
          <w:lang w:val="ro-RO" w:eastAsia="ru-RU"/>
        </w:rPr>
        <w:br/>
        <w:t>*Pe baza unei analize de subgrup din studiul ION-3, ledipasvir</w:t>
      </w:r>
      <w:r w:rsidRPr="00FF5E27">
        <w:rPr>
          <w:rFonts w:ascii="Times New Roman" w:eastAsia="Times New Roman" w:hAnsi="Times New Roman" w:cs="Times New Roman"/>
          <w:bCs/>
          <w:color w:val="232323"/>
          <w:sz w:val="24"/>
          <w:szCs w:val="24"/>
          <w:shd w:val="clear" w:color="auto" w:fill="FFFFFF"/>
          <w:lang w:val="ro-RO" w:eastAsia="ru-RU"/>
        </w:rPr>
        <w:t xml:space="preserve">um + </w:t>
      </w:r>
      <w:r w:rsidRPr="00FF5E27">
        <w:rPr>
          <w:rFonts w:ascii="Times New Roman" w:eastAsia="Times New Roman" w:hAnsi="Times New Roman" w:cs="Times New Roman"/>
          <w:color w:val="333333"/>
          <w:sz w:val="24"/>
          <w:szCs w:val="24"/>
          <w:lang w:val="ro-RO" w:eastAsia="ru-RU"/>
        </w:rPr>
        <w:t>sofosbuvir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color w:val="333333"/>
          <w:sz w:val="24"/>
          <w:szCs w:val="24"/>
          <w:lang w:val="ro-RO" w:eastAsia="ru-RU"/>
        </w:rPr>
        <w:t xml:space="preserve"> timp de 8 săptămâni poate fi luat în considerare la pacienții de genotip 1 naivi fără ciroză și care au ARN HCV pretratament mai mic de 6 milioane UI/mL.</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333333"/>
          <w:sz w:val="24"/>
          <w:szCs w:val="24"/>
          <w:lang w:val="ro-RO" w:eastAsia="ru-RU"/>
        </w:rPr>
      </w:pPr>
      <w:r w:rsidRPr="00FF5E27">
        <w:rPr>
          <w:rFonts w:ascii="Times New Roman" w:eastAsia="Times New Roman" w:hAnsi="Times New Roman" w:cs="Times New Roman"/>
          <w:color w:val="333333"/>
          <w:sz w:val="24"/>
          <w:szCs w:val="24"/>
          <w:lang w:val="ro-RO" w:eastAsia="ru-RU"/>
        </w:rPr>
        <w:t>**Pacienții cu experiență în tratament includ cei care au eșuat la un regim peginterferon alfa plus ribavirinum*, cu sau fără un inhibitor de protează VHC.</w:t>
      </w:r>
    </w:p>
    <w:p w:rsidR="00FF5E27" w:rsidRPr="00FF5E27" w:rsidRDefault="00FF5E27" w:rsidP="00FF5E27">
      <w:pPr>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333333"/>
          <w:sz w:val="24"/>
          <w:szCs w:val="24"/>
          <w:vertAlign w:val="superscript"/>
          <w:lang w:val="ro-RO"/>
        </w:rPr>
        <w:t>†</w:t>
      </w:r>
      <w:r w:rsidRPr="00FF5E27">
        <w:rPr>
          <w:rFonts w:ascii="Times New Roman" w:eastAsia="Times New Roman" w:hAnsi="Times New Roman" w:cs="Times New Roman"/>
          <w:color w:val="333333"/>
          <w:sz w:val="24"/>
          <w:szCs w:val="24"/>
          <w:lang w:val="ro-RO"/>
        </w:rPr>
        <w:t xml:space="preserve"> Ledipasvirum + sofosbuvirum* timp de 12 săptămâni poate fi luat în considerare la pacienții cu ciroză de genotip 1 cu experiență în tratament și care sunt eligibili pentru ribavirinum* (vezi nota de mai jos</w:t>
      </w:r>
      <w:r w:rsidRPr="00FF5E27">
        <w:rPr>
          <w:rFonts w:ascii="Times New Roman" w:eastAsia="Times New Roman" w:hAnsi="Times New Roman" w:cs="Times New Roman"/>
          <w:color w:val="333333"/>
          <w:sz w:val="24"/>
          <w:szCs w:val="24"/>
          <w:vertAlign w:val="superscript"/>
          <w:lang w:val="ro-RO"/>
        </w:rPr>
        <w:t>§</w:t>
      </w:r>
      <w:r w:rsidRPr="00FF5E27">
        <w:rPr>
          <w:rFonts w:ascii="Times New Roman" w:eastAsia="Times New Roman" w:hAnsi="Times New Roman" w:cs="Times New Roman"/>
          <w:color w:val="333333"/>
          <w:sz w:val="24"/>
          <w:szCs w:val="24"/>
          <w:lang w:val="ro-RO"/>
        </w:rPr>
        <w:t xml:space="preserve"> pentru recomandările privind dozele de ribavirinum*). </w:t>
      </w:r>
      <w:r w:rsidRPr="00FF5E27">
        <w:rPr>
          <w:rFonts w:ascii="Times New Roman" w:eastAsia="Times New Roman" w:hAnsi="Times New Roman" w:cs="Times New Roman"/>
          <w:color w:val="232323"/>
          <w:sz w:val="24"/>
          <w:szCs w:val="24"/>
          <w:shd w:val="clear" w:color="auto" w:fill="FFFFFF"/>
          <w:lang w:val="ro-RO"/>
        </w:rPr>
        <w:t>Pacienți cu ciroză decompensată (Child-Pugh B sau C) și pacienți cu ciroză compensată (Child-Pugh A) cu episoade anterioare de decompensare, cu contraindicații pentru utilizarea ribavirinum* sau cu toleranța slabă la tratament cu ribavirinum* ar trebui să primească combinație cu doză fixă de sofosbuvirum și ledipasvirum* pentru 24 de săptămâni, fără ribavirinum*.</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333333"/>
          <w:sz w:val="24"/>
          <w:szCs w:val="24"/>
          <w:lang w:val="ro-RO" w:eastAsia="ru-RU"/>
        </w:rPr>
      </w:pPr>
      <w:r w:rsidRPr="00FF5E27">
        <w:rPr>
          <w:rFonts w:ascii="Times New Roman" w:eastAsia="Times New Roman" w:hAnsi="Times New Roman" w:cs="Times New Roman"/>
          <w:color w:val="333333"/>
          <w:sz w:val="24"/>
          <w:szCs w:val="24"/>
          <w:vertAlign w:val="superscript"/>
          <w:lang w:val="ro-RO" w:eastAsia="ru-RU"/>
        </w:rPr>
        <w:t>‡</w:t>
      </w:r>
      <w:r w:rsidRPr="00FF5E27">
        <w:rPr>
          <w:rFonts w:ascii="Times New Roman" w:eastAsia="Times New Roman" w:hAnsi="Times New Roman" w:cs="Times New Roman"/>
          <w:color w:val="333333"/>
          <w:sz w:val="24"/>
          <w:szCs w:val="24"/>
          <w:lang w:val="ro-RO" w:eastAsia="ru-RU"/>
        </w:rPr>
        <w:t xml:space="preserve"> La pacienții cu ciroză decompensată, doza inițială de ribavirinum* este de 600 mg și poate fi titrată până la 1000 mg pentru pacienții &lt;75 kg și 1200 mg pentru cei ≥75 kg în două prize împărțite, cu alimente. Dacă doza inițială de ribavirinum* nu este bine tolerată, doza trebuie redusă conform indicațiilor clinice, pe baza nivelurilor de hemoglobină.</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333333"/>
          <w:sz w:val="24"/>
          <w:szCs w:val="24"/>
          <w:lang w:val="ro-RO" w:eastAsia="ru-RU"/>
        </w:rPr>
      </w:pPr>
      <w:r w:rsidRPr="00FF5E27">
        <w:rPr>
          <w:rFonts w:ascii="Times New Roman" w:eastAsia="Times New Roman" w:hAnsi="Times New Roman" w:cs="Times New Roman"/>
          <w:color w:val="333333"/>
          <w:sz w:val="24"/>
          <w:szCs w:val="24"/>
          <w:vertAlign w:val="superscript"/>
          <w:lang w:val="ro-RO" w:eastAsia="ru-RU"/>
        </w:rPr>
        <w:t>§</w:t>
      </w:r>
      <w:r w:rsidRPr="00FF5E27">
        <w:rPr>
          <w:rFonts w:ascii="Times New Roman" w:eastAsia="Times New Roman" w:hAnsi="Times New Roman" w:cs="Times New Roman"/>
          <w:color w:val="333333"/>
          <w:sz w:val="24"/>
          <w:szCs w:val="24"/>
          <w:lang w:val="ro-RO" w:eastAsia="ru-RU"/>
        </w:rPr>
        <w:t xml:space="preserve"> Pentru pacienții fără ciroză sau cu ciroză compensată (Child-Pugh A), doza zilnică de ribavirinum* este în funcție de greutate (1000 mg pentru pacienții &lt;75 kg și 1200 mg pentru cei ≥75 kg) administrată oral în două prize împărțite, cu alimente. </w:t>
      </w:r>
    </w:p>
    <w:p w:rsidR="00FF5E27" w:rsidRPr="00FF5E27" w:rsidRDefault="00FF5E27" w:rsidP="00461D8F">
      <w:pPr>
        <w:numPr>
          <w:ilvl w:val="0"/>
          <w:numId w:val="69"/>
        </w:numPr>
        <w:shd w:val="clear" w:color="auto" w:fill="FFFFFF"/>
        <w:spacing w:before="100" w:after="0" w:line="240" w:lineRule="auto"/>
        <w:jc w:val="both"/>
        <w:rPr>
          <w:rFonts w:ascii="Times New Roman" w:eastAsia="Times New Roman" w:hAnsi="Times New Roman" w:cs="Times New Roman"/>
          <w:color w:val="333333"/>
          <w:sz w:val="24"/>
          <w:szCs w:val="24"/>
          <w:lang w:val="ro-RO" w:eastAsia="ru-RU"/>
        </w:rPr>
      </w:pPr>
      <w:r w:rsidRPr="00FF5E27">
        <w:rPr>
          <w:rFonts w:ascii="Times New Roman" w:eastAsia="Times New Roman" w:hAnsi="Times New Roman" w:cs="Times New Roman"/>
          <w:sz w:val="24"/>
          <w:szCs w:val="24"/>
          <w:shd w:val="clear" w:color="auto" w:fill="FFFFFF"/>
          <w:lang w:val="ro-RO" w:eastAsia="ru-RU"/>
        </w:rPr>
        <w:t xml:space="preserve">Combinația cu doză fixă de </w:t>
      </w:r>
      <w:r w:rsidRPr="00FF5E27">
        <w:rPr>
          <w:rFonts w:ascii="Times New Roman" w:eastAsia="Times New Roman" w:hAnsi="Times New Roman" w:cs="Times New Roman"/>
          <w:b/>
          <w:bCs/>
          <w:sz w:val="24"/>
          <w:szCs w:val="24"/>
          <w:shd w:val="clear" w:color="auto" w:fill="FFFFFF"/>
          <w:lang w:val="ro-RO" w:eastAsia="ru-RU"/>
        </w:rPr>
        <w:t>ledipasvir</w:t>
      </w:r>
      <w:r w:rsidRPr="00FF5E27">
        <w:rPr>
          <w:rFonts w:ascii="Times New Roman" w:eastAsia="Times New Roman" w:hAnsi="Times New Roman" w:cs="Times New Roman"/>
          <w:b/>
          <w:bCs/>
          <w:color w:val="232323"/>
          <w:sz w:val="24"/>
          <w:szCs w:val="24"/>
          <w:shd w:val="clear" w:color="auto" w:fill="FFFFFF"/>
          <w:lang w:val="ro-RO" w:eastAsia="ru-RU"/>
        </w:rPr>
        <w:t xml:space="preserve">um + </w:t>
      </w:r>
      <w:r w:rsidRPr="00FF5E27">
        <w:rPr>
          <w:rFonts w:ascii="Times New Roman" w:eastAsia="Times New Roman" w:hAnsi="Times New Roman" w:cs="Times New Roman"/>
          <w:b/>
          <w:bCs/>
          <w:sz w:val="24"/>
          <w:szCs w:val="24"/>
          <w:shd w:val="clear" w:color="auto" w:fill="FFFFFF"/>
          <w:lang w:val="ro-RO" w:eastAsia="ru-RU"/>
        </w:rPr>
        <w:t>sofosbuvir</w:t>
      </w:r>
      <w:r w:rsidRPr="00FF5E27">
        <w:rPr>
          <w:rFonts w:ascii="Times New Roman" w:eastAsia="Times New Roman" w:hAnsi="Times New Roman" w:cs="Times New Roman"/>
          <w:b/>
          <w:bCs/>
          <w:color w:val="232323"/>
          <w:sz w:val="24"/>
          <w:szCs w:val="24"/>
          <w:shd w:val="clear" w:color="auto" w:fill="FFFFFF"/>
          <w:lang w:val="ro-RO" w:eastAsia="ru-RU"/>
        </w:rPr>
        <w:t>um*</w:t>
      </w:r>
      <w:r w:rsidRPr="00FF5E27">
        <w:rPr>
          <w:rFonts w:ascii="Times New Roman" w:eastAsia="Times New Roman" w:hAnsi="Times New Roman" w:cs="Times New Roman"/>
          <w:sz w:val="24"/>
          <w:szCs w:val="24"/>
          <w:shd w:val="clear" w:color="auto" w:fill="FFFFFF"/>
          <w:lang w:val="ro-RO" w:eastAsia="ru-RU"/>
        </w:rPr>
        <w:t xml:space="preserve"> oferă o opțiune eficientă și bine tolerată de o singură pilulă o dată pe zi pentru tratamentul hepatitei virale C cronice de genotipurile 1, 4, 5 și 6 ( infecție cu VHC). Acest regim antiviral cu acțiune directă a </w:t>
      </w:r>
      <w:r w:rsidRPr="00FF5E27">
        <w:rPr>
          <w:rFonts w:ascii="Times New Roman" w:eastAsia="Times New Roman" w:hAnsi="Times New Roman" w:cs="Times New Roman"/>
          <w:sz w:val="24"/>
          <w:szCs w:val="24"/>
          <w:shd w:val="clear" w:color="auto" w:fill="FFFFFF"/>
          <w:lang w:val="ro-RO" w:eastAsia="ru-RU"/>
        </w:rPr>
        <w:lastRenderedPageBreak/>
        <w:t xml:space="preserve">fost primul regim fără interferon și ribavirinum* aprobat de FDA pentru a trata hepatita virală C. Ledipasvirum + sofosbuvirum* poate fi utilizat fără ribavirinum* la majoritatea pacienților cu genotip 1A, cu excepția celor care sunt cirotici și au experimentat tratament. În plus, persoanele cu genotipul 1 al VHC pot fi eligibile pentru o durată de 8 săptămâni dacă nu au primit tratament, nu au ciroză și au un nivel de ARN-HCV pretratament mai mic de 6 milioane. Similar cu sofosbuvirum+velpatasvirum*, cealaltă combinație de inhibitori NS5B-NS5A, ledipasvirum + sofosbuvirum* s-a dovedit a fi sigur și eficient pentru tratamentul VHC la persoanele cu ciroză decompensată. </w:t>
      </w:r>
    </w:p>
    <w:p w:rsidR="00FF5E27" w:rsidRPr="00FF5E27" w:rsidRDefault="00FF5E27" w:rsidP="00461D8F">
      <w:pPr>
        <w:numPr>
          <w:ilvl w:val="0"/>
          <w:numId w:val="69"/>
        </w:numPr>
        <w:shd w:val="clear" w:color="auto" w:fill="FFFFFF"/>
        <w:spacing w:before="100" w:after="0" w:line="240" w:lineRule="auto"/>
        <w:jc w:val="both"/>
        <w:rPr>
          <w:rFonts w:ascii="Times New Roman" w:eastAsia="Times New Roman" w:hAnsi="Times New Roman" w:cs="Times New Roman"/>
          <w:color w:val="333333"/>
          <w:sz w:val="24"/>
          <w:szCs w:val="24"/>
          <w:lang w:val="ro-RO" w:eastAsia="ru-RU"/>
        </w:rPr>
      </w:pPr>
      <w:r w:rsidRPr="00FF5E27">
        <w:rPr>
          <w:rFonts w:ascii="Times New Roman" w:eastAsia="Times New Roman" w:hAnsi="Times New Roman" w:cs="Times New Roman"/>
          <w:color w:val="333333"/>
          <w:sz w:val="24"/>
          <w:szCs w:val="24"/>
          <w:lang w:val="ro-RO" w:eastAsia="ru-RU"/>
        </w:rPr>
        <w:t>Pentru pacienții cu orice grad de insuficiență renală, inclusiv boală renală în stadiu terminal care necesită dializă, nu este necesară ajustarea dozei.</w:t>
      </w:r>
    </w:p>
    <w:p w:rsidR="00FF5E27" w:rsidRPr="00FF5E27" w:rsidRDefault="00FF5E27" w:rsidP="00461D8F">
      <w:pPr>
        <w:numPr>
          <w:ilvl w:val="0"/>
          <w:numId w:val="69"/>
        </w:numPr>
        <w:shd w:val="clear" w:color="auto" w:fill="FFFFFF"/>
        <w:spacing w:before="100" w:after="0" w:line="240" w:lineRule="auto"/>
        <w:jc w:val="both"/>
        <w:rPr>
          <w:rFonts w:ascii="Times New Roman" w:eastAsia="Times New Roman" w:hAnsi="Times New Roman" w:cs="Times New Roman"/>
          <w:color w:val="333333"/>
          <w:sz w:val="24"/>
          <w:szCs w:val="24"/>
          <w:lang w:val="ro-RO" w:eastAsia="ru-RU"/>
        </w:rPr>
      </w:pPr>
      <w:r w:rsidRPr="00FF5E27">
        <w:rPr>
          <w:rFonts w:ascii="Times New Roman" w:eastAsia="Times New Roman" w:hAnsi="Times New Roman" w:cs="Times New Roman"/>
          <w:color w:val="333333"/>
          <w:sz w:val="24"/>
          <w:szCs w:val="24"/>
          <w:lang w:val="ro-RO" w:eastAsia="ru-RU"/>
        </w:rPr>
        <w:t>Pentru pacienții cu insuficiență hepatică ușoară, moderată sau severă (clasa Child-Pugh A, B sau C), nu se recomandă ajustarea dozei, dar siguranța și eficacitatea ledipasvirum + sofosbuvirum* la pacienții cu ciroză decompensată nu au fost stabilite.</w:t>
      </w:r>
    </w:p>
    <w:p w:rsidR="00FF5E27" w:rsidRPr="00FF5E27" w:rsidRDefault="00FF5E27" w:rsidP="00461D8F">
      <w:pPr>
        <w:numPr>
          <w:ilvl w:val="0"/>
          <w:numId w:val="69"/>
        </w:numPr>
        <w:shd w:val="clear" w:color="auto" w:fill="FFFFFF"/>
        <w:spacing w:before="100" w:after="0" w:line="240" w:lineRule="auto"/>
        <w:jc w:val="both"/>
        <w:rPr>
          <w:rFonts w:ascii="Times New Roman" w:eastAsia="Times New Roman" w:hAnsi="Times New Roman" w:cs="Times New Roman"/>
          <w:color w:val="333333"/>
          <w:sz w:val="24"/>
          <w:szCs w:val="24"/>
          <w:lang w:val="ro-RO" w:eastAsia="ru-RU"/>
        </w:rPr>
      </w:pPr>
      <w:r w:rsidRPr="00FF5E27">
        <w:rPr>
          <w:rFonts w:ascii="Times New Roman" w:eastAsia="Times New Roman" w:hAnsi="Times New Roman" w:cs="Times New Roman"/>
          <w:b/>
          <w:bCs/>
          <w:sz w:val="24"/>
          <w:szCs w:val="24"/>
          <w:lang w:val="ro-RO" w:eastAsia="ru-RU"/>
        </w:rPr>
        <w:t>Efecte adverse:</w:t>
      </w:r>
      <w:r w:rsidRPr="00FF5E27">
        <w:rPr>
          <w:rFonts w:ascii="Times New Roman" w:eastAsia="Times New Roman" w:hAnsi="Times New Roman" w:cs="Times New Roman"/>
          <w:sz w:val="24"/>
          <w:szCs w:val="24"/>
          <w:lang w:val="ro-RO" w:eastAsia="ru-RU"/>
        </w:rPr>
        <w:t xml:space="preserve"> Datele disponibile din studiile clinice au demonstrat că combinația ledipasvirum + sofosbuvirum* a fost foarte bine tolerată. Cele mai frecvente efecte adverse raportate sunt oboseala și durerile de cap.</w:t>
      </w:r>
    </w:p>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333333"/>
          <w:sz w:val="24"/>
          <w:szCs w:val="24"/>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C61FA4">
        <w:tc>
          <w:tcPr>
            <w:tcW w:w="9464"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sz w:val="24"/>
                <w:szCs w:val="24"/>
                <w:lang w:val="ro-RO" w:eastAsia="ru-RU"/>
              </w:rPr>
              <w:t xml:space="preserve">Caseta 24. </w:t>
            </w:r>
            <w:r w:rsidRPr="00FF5E27">
              <w:rPr>
                <w:rFonts w:ascii="Times New Roman" w:eastAsia="Times New Roman" w:hAnsi="Times New Roman" w:cs="Times New Roman"/>
                <w:b/>
                <w:bCs/>
                <w:sz w:val="24"/>
                <w:szCs w:val="24"/>
                <w:lang w:val="ro-RO" w:eastAsia="ru-RU"/>
              </w:rPr>
              <w:t xml:space="preserve">Recomandări de tratament al infecției virale cronice C la pacienții fără ciroză si la pacientii cu ciroză compensată (Child-Pugh A) </w:t>
            </w:r>
            <w:r w:rsidRPr="00FF5E27">
              <w:rPr>
                <w:rFonts w:ascii="Times New Roman" w:eastAsia="Times New Roman" w:hAnsi="Times New Roman" w:cs="Times New Roman"/>
                <w:sz w:val="24"/>
                <w:szCs w:val="24"/>
                <w:lang w:val="ro-RO" w:eastAsia="ru-RU"/>
              </w:rPr>
              <w:t>[30]</w:t>
            </w:r>
          </w:p>
          <w:p w:rsidR="00FF5E27" w:rsidRPr="00FF5E27" w:rsidRDefault="00FF5E27" w:rsidP="00461D8F">
            <w:pPr>
              <w:numPr>
                <w:ilvl w:val="0"/>
                <w:numId w:val="75"/>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Datorită eficacității virusologice, ușurinței în utilizare, siguranței și tolerabilității, regimurile pangenotipice pe bază de DAA, fără IFN, fără ribavirinum*, sunt preferate la pacienții infectați cu VHC fără ciroză sau cu ciroză compensată (Child-Pugh A, inclusiv pacienți „naivi” la tratament (definiți ca pacienți care nu au fost niciodată tratați pentru infecția lor cu VHC) și pacienții „cu experiență de tratament” (definiți ca pacienți care au fost tratați anterior cu IFN-a pegilat și ribavirinum*; sau IFN-a pegilat, ribavirinum* și sofosbuvirum; sau sofosbuvirum și ribavirinum*) (A1).</w:t>
            </w:r>
          </w:p>
          <w:p w:rsidR="00FF5E27" w:rsidRPr="00FF5E27" w:rsidRDefault="00FF5E27" w:rsidP="00461D8F">
            <w:pPr>
              <w:numPr>
                <w:ilvl w:val="0"/>
                <w:numId w:val="75"/>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Se recomandă următoarele </w:t>
            </w:r>
            <w:r w:rsidRPr="00FF5E27">
              <w:rPr>
                <w:rFonts w:ascii="Times New Roman" w:eastAsia="Times New Roman" w:hAnsi="Times New Roman" w:cs="Times New Roman"/>
                <w:b/>
                <w:bCs/>
                <w:sz w:val="24"/>
                <w:szCs w:val="24"/>
                <w:lang w:val="ro-RO" w:eastAsia="ru-RU"/>
              </w:rPr>
              <w:t>regimuri pangenotipice</w:t>
            </w:r>
            <w:r w:rsidRPr="00FF5E27">
              <w:rPr>
                <w:rFonts w:ascii="Times New Roman" w:eastAsia="Times New Roman" w:hAnsi="Times New Roman" w:cs="Times New Roman"/>
                <w:sz w:val="24"/>
                <w:szCs w:val="24"/>
                <w:lang w:val="ro-RO" w:eastAsia="ru-RU"/>
              </w:rPr>
              <w:t xml:space="preserve"> pentru tratamentul pacienţilor infectaţi cu VHC, conform recomandărilor de mai jos (A1): </w:t>
            </w:r>
          </w:p>
          <w:p w:rsidR="00FF5E27" w:rsidRPr="00FF5E27" w:rsidRDefault="00FF5E27" w:rsidP="00461D8F">
            <w:pPr>
              <w:numPr>
                <w:ilvl w:val="0"/>
                <w:numId w:val="76"/>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Combinația cu doză fixă de sofosbuvi</w:t>
            </w:r>
            <w:r w:rsidRPr="00FF5E27">
              <w:rPr>
                <w:rFonts w:ascii="Times New Roman" w:eastAsia="Times New Roman" w:hAnsi="Times New Roman" w:cs="Times New Roman"/>
                <w:bCs/>
                <w:color w:val="232323"/>
                <w:sz w:val="24"/>
                <w:szCs w:val="24"/>
                <w:shd w:val="clear" w:color="auto" w:fill="FFFFFF"/>
                <w:lang w:val="ro-RO" w:eastAsia="ru-RU"/>
              </w:rPr>
              <w:t>rum</w:t>
            </w:r>
            <w:r w:rsidRPr="00FF5E27">
              <w:rPr>
                <w:rFonts w:ascii="Times New Roman" w:eastAsia="Times New Roman" w:hAnsi="Times New Roman" w:cs="Times New Roman"/>
                <w:sz w:val="24"/>
                <w:szCs w:val="24"/>
                <w:lang w:val="ro-RO" w:eastAsia="ru-RU"/>
              </w:rPr>
              <w:t xml:space="preserve"> (400 mg) și velpatasvir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sz w:val="24"/>
                <w:szCs w:val="24"/>
                <w:lang w:val="ro-RO" w:eastAsia="ru-RU"/>
              </w:rPr>
              <w:t xml:space="preserve"> (100 mg) într-un singur comprimat administrat o data pe zi.</w:t>
            </w:r>
          </w:p>
          <w:p w:rsidR="00FF5E27" w:rsidRPr="00FF5E27" w:rsidRDefault="00FF5E27" w:rsidP="00461D8F">
            <w:pPr>
              <w:numPr>
                <w:ilvl w:val="0"/>
                <w:numId w:val="76"/>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Combinația cu doză fixă de glecaprevir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sz w:val="24"/>
                <w:szCs w:val="24"/>
                <w:lang w:val="ro-RO" w:eastAsia="ru-RU"/>
              </w:rPr>
              <w:t xml:space="preserve"> (300 mg) și pibrentasvir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sz w:val="24"/>
                <w:szCs w:val="24"/>
                <w:lang w:val="ro-RO" w:eastAsia="ru-RU"/>
              </w:rPr>
              <w:t xml:space="preserve"> (120 mg) în 3 comprimate care conțin 100 mg glecaprevirum și 40 mg pibrentasvirum*, administrate o dată pe zi cu alimente.</w:t>
            </w:r>
          </w:p>
          <w:p w:rsidR="00FF5E27" w:rsidRPr="00FF5E27" w:rsidRDefault="00FF5E27" w:rsidP="00461D8F">
            <w:pPr>
              <w:numPr>
                <w:ilvl w:val="0"/>
                <w:numId w:val="76"/>
              </w:numPr>
              <w:spacing w:before="100" w:after="0" w:line="240" w:lineRule="auto"/>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Combinația cu doză fixă de sofosbuvir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sz w:val="24"/>
                <w:szCs w:val="24"/>
                <w:lang w:val="ro-RO" w:eastAsia="ru-RU"/>
              </w:rPr>
              <w:t xml:space="preserve"> (400 mg), velpatasvir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sz w:val="24"/>
                <w:szCs w:val="24"/>
                <w:lang w:val="ro-RO" w:eastAsia="ru-RU"/>
              </w:rPr>
              <w:t xml:space="preserve"> (100 mg) și voxilaprevir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sz w:val="24"/>
                <w:szCs w:val="24"/>
                <w:lang w:val="ro-RO" w:eastAsia="ru-RU"/>
              </w:rPr>
              <w:t xml:space="preserve"> (100 mg) într-un singur comprimat administrat o dată pe zi, cu alimente.</w:t>
            </w:r>
          </w:p>
          <w:p w:rsidR="00FF5E27" w:rsidRPr="00FF5E27" w:rsidRDefault="00FF5E27" w:rsidP="00461D8F">
            <w:pPr>
              <w:numPr>
                <w:ilvl w:val="0"/>
                <w:numId w:val="75"/>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Combinația non-pangenotipică</w:t>
            </w:r>
            <w:r w:rsidRPr="00FF5E27">
              <w:rPr>
                <w:rFonts w:ascii="Times New Roman" w:eastAsia="Times New Roman" w:hAnsi="Times New Roman" w:cs="Times New Roman"/>
                <w:sz w:val="24"/>
                <w:szCs w:val="24"/>
                <w:lang w:val="ro-RO" w:eastAsia="ru-RU"/>
              </w:rPr>
              <w:t xml:space="preserve"> în doză fixă de grazoprevirum (100 mg) și elbasvir</w:t>
            </w:r>
            <w:r w:rsidRPr="00FF5E27">
              <w:rPr>
                <w:rFonts w:ascii="Times New Roman" w:eastAsia="Times New Roman" w:hAnsi="Times New Roman" w:cs="Times New Roman"/>
                <w:bCs/>
                <w:color w:val="232323"/>
                <w:sz w:val="24"/>
                <w:szCs w:val="24"/>
                <w:shd w:val="clear" w:color="auto" w:fill="FFFFFF"/>
                <w:lang w:val="ro-RO" w:eastAsia="ru-RU"/>
              </w:rPr>
              <w:t>um*</w:t>
            </w:r>
            <w:r w:rsidRPr="00FF5E27">
              <w:rPr>
                <w:rFonts w:ascii="Times New Roman" w:eastAsia="Times New Roman" w:hAnsi="Times New Roman" w:cs="Times New Roman"/>
                <w:sz w:val="24"/>
                <w:szCs w:val="24"/>
                <w:lang w:val="ro-RO" w:eastAsia="ru-RU"/>
              </w:rPr>
              <w:t xml:space="preserve"> (50 mg) într-un singur comprimat administrat o dată pe zi poate fi utilizată și la pacienții infectați cu VHC genotip 1b (A1).</w:t>
            </w:r>
          </w:p>
          <w:p w:rsidR="00FF5E27" w:rsidRPr="00FF5E27" w:rsidRDefault="00FF5E27" w:rsidP="00461D8F">
            <w:pPr>
              <w:numPr>
                <w:ilvl w:val="0"/>
                <w:numId w:val="75"/>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Aceleași scheme de tratament fără IFN și fără ribavirinum* trebuie utilizate </w:t>
            </w:r>
            <w:r w:rsidRPr="00FF5E27">
              <w:rPr>
                <w:rFonts w:ascii="Times New Roman" w:eastAsia="Times New Roman" w:hAnsi="Times New Roman" w:cs="Times New Roman"/>
                <w:b/>
                <w:bCs/>
                <w:sz w:val="24"/>
                <w:szCs w:val="24"/>
                <w:lang w:val="ro-RO" w:eastAsia="ru-RU"/>
              </w:rPr>
              <w:t>la pacienții coinfectați cu HIV ca și la pacienți fără infecție cu HIV</w:t>
            </w:r>
            <w:r w:rsidRPr="00FF5E27">
              <w:rPr>
                <w:rFonts w:ascii="Times New Roman" w:eastAsia="Times New Roman" w:hAnsi="Times New Roman" w:cs="Times New Roman"/>
                <w:sz w:val="24"/>
                <w:szCs w:val="24"/>
                <w:lang w:val="ro-RO" w:eastAsia="ru-RU"/>
              </w:rPr>
              <w:t>, deoarece rezultatele virologice ale terapiei sunt identice (A1).</w:t>
            </w:r>
          </w:p>
          <w:p w:rsidR="00FF5E27" w:rsidRPr="00FF5E27" w:rsidRDefault="00FF5E27" w:rsidP="00461D8F">
            <w:pPr>
              <w:numPr>
                <w:ilvl w:val="0"/>
                <w:numId w:val="75"/>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La pacienții coinfectați cu HIV, modificările tratamentului sau ajustările dozei trebuie efectuate în cazul interacțiunilor cu medicamente antiretrovirale (A1).</w:t>
            </w:r>
          </w:p>
          <w:p w:rsidR="00FF5E27" w:rsidRPr="00FF5E27" w:rsidRDefault="00FF5E27" w:rsidP="00461D8F">
            <w:pPr>
              <w:numPr>
                <w:ilvl w:val="0"/>
                <w:numId w:val="75"/>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În setările în care niciunul dintre preparatele antivirale nu conține IFN și fără ribavirinum* sunt disponibile opțiunile propuse în acest document, opțiuni propuse în versiunile </w:t>
            </w:r>
            <w:r w:rsidRPr="00FF5E27">
              <w:rPr>
                <w:rFonts w:ascii="Times New Roman" w:eastAsia="Times New Roman" w:hAnsi="Times New Roman" w:cs="Times New Roman"/>
                <w:sz w:val="24"/>
                <w:szCs w:val="24"/>
                <w:lang w:val="ro-RO" w:eastAsia="ru-RU"/>
              </w:rPr>
              <w:lastRenderedPageBreak/>
              <w:t>anterioare ale acestor recomandări rămân acceptabile pentru pacienții susceptibili de a răspunde la aceste regimuri până când regimurile pangenotipice DAA devin disponibile și accesibile (A1).</w:t>
            </w:r>
          </w:p>
          <w:p w:rsidR="00FF5E27" w:rsidRPr="00FF5E27" w:rsidRDefault="00FF5E27" w:rsidP="00461D8F">
            <w:pPr>
              <w:numPr>
                <w:ilvl w:val="0"/>
                <w:numId w:val="75"/>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Pot fi utilizate medicamente generice, cu condiția ca controalele de calitate să fie îndeplinite și garantate de către furnizor (A1).</w:t>
            </w:r>
          </w:p>
          <w:p w:rsidR="00FF5E27" w:rsidRPr="00FF5E27" w:rsidRDefault="00FF5E27" w:rsidP="00461D8F">
            <w:pPr>
              <w:numPr>
                <w:ilvl w:val="0"/>
                <w:numId w:val="75"/>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 xml:space="preserve">În țările cu venituri mici și medii în care nu există și nu sunt disponibile și/sau nu sunt accesibile DAA, </w:t>
            </w:r>
            <w:r w:rsidRPr="00FF5E27">
              <w:rPr>
                <w:rFonts w:ascii="Times New Roman" w:eastAsia="Times New Roman" w:hAnsi="Times New Roman" w:cs="Times New Roman"/>
                <w:b/>
                <w:bCs/>
                <w:sz w:val="24"/>
                <w:szCs w:val="24"/>
                <w:lang w:val="ro-RO" w:eastAsia="ru-RU"/>
              </w:rPr>
              <w:t>combinația pangenotipică de sofosbuvir</w:t>
            </w:r>
            <w:r w:rsidRPr="00FF5E27">
              <w:rPr>
                <w:rFonts w:ascii="Times New Roman" w:eastAsia="Times New Roman" w:hAnsi="Times New Roman" w:cs="Times New Roman"/>
                <w:b/>
                <w:bCs/>
                <w:color w:val="232323"/>
                <w:sz w:val="24"/>
                <w:szCs w:val="24"/>
                <w:shd w:val="clear" w:color="auto" w:fill="FFFFFF"/>
                <w:lang w:val="ro-RO" w:eastAsia="ru-RU"/>
              </w:rPr>
              <w:t>um</w:t>
            </w:r>
            <w:r w:rsidRPr="00FF5E27">
              <w:rPr>
                <w:rFonts w:ascii="Times New Roman" w:eastAsia="Times New Roman" w:hAnsi="Times New Roman" w:cs="Times New Roman"/>
                <w:b/>
                <w:bCs/>
                <w:sz w:val="24"/>
                <w:szCs w:val="24"/>
                <w:lang w:val="ro-RO" w:eastAsia="ru-RU"/>
              </w:rPr>
              <w:t xml:space="preserve"> generic și daclatasvir</w:t>
            </w:r>
            <w:r w:rsidRPr="00FF5E27">
              <w:rPr>
                <w:rFonts w:ascii="Times New Roman" w:eastAsia="Times New Roman" w:hAnsi="Times New Roman" w:cs="Times New Roman"/>
                <w:b/>
                <w:bCs/>
                <w:color w:val="232323"/>
                <w:sz w:val="24"/>
                <w:szCs w:val="24"/>
                <w:shd w:val="clear" w:color="auto" w:fill="FFFFFF"/>
                <w:lang w:val="ro-RO" w:eastAsia="ru-RU"/>
              </w:rPr>
              <w:t>um*</w:t>
            </w:r>
            <w:r w:rsidRPr="00FF5E27">
              <w:rPr>
                <w:rFonts w:ascii="Times New Roman" w:eastAsia="Times New Roman" w:hAnsi="Times New Roman" w:cs="Times New Roman"/>
                <w:b/>
                <w:bCs/>
                <w:sz w:val="24"/>
                <w:szCs w:val="24"/>
                <w:lang w:val="ro-RO" w:eastAsia="ru-RU"/>
              </w:rPr>
              <w:t xml:space="preserve"> generic este sigură, foarte eficientă și accesibilă trebuie utilizată în conformitate cu Recomandările EASL din 2016 privind tratamentul hepatitei C (A1).</w:t>
            </w:r>
          </w:p>
          <w:p w:rsidR="00FF5E27" w:rsidRPr="00FF5E27" w:rsidRDefault="00FF5E27" w:rsidP="00461D8F">
            <w:pPr>
              <w:numPr>
                <w:ilvl w:val="0"/>
                <w:numId w:val="75"/>
              </w:numPr>
              <w:spacing w:before="100" w:after="0" w:line="240" w:lineRule="auto"/>
              <w:ind w:left="357" w:hanging="357"/>
              <w:contextualSpacing/>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La pacienţii cu fibroză avansată (F3) sau cu ciroză compensată (Child-Pugh A) (F4), supraveghere post-SVR pentru HCC trebuie furnizate și la diagnosticul de HCC se face îngrijirea și tratamentul pentru HCC (A1).</w:t>
            </w:r>
          </w:p>
        </w:tc>
      </w:tr>
    </w:tbl>
    <w:p w:rsidR="00FF5E27" w:rsidRPr="00FF5E27" w:rsidRDefault="00FF5E27" w:rsidP="00FF5E27">
      <w:pPr>
        <w:shd w:val="clear" w:color="auto" w:fill="FFFFFF"/>
        <w:spacing w:after="0" w:line="240" w:lineRule="auto"/>
        <w:jc w:val="both"/>
        <w:rPr>
          <w:rFonts w:ascii="Times New Roman" w:eastAsia="Times New Roman" w:hAnsi="Times New Roman" w:cs="Times New Roman"/>
          <w:b/>
          <w:bCs/>
          <w:color w:val="232323"/>
          <w:sz w:val="24"/>
          <w:szCs w:val="24"/>
          <w:shd w:val="clear" w:color="auto" w:fill="FFFFFF"/>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F5E27">
        <w:tc>
          <w:tcPr>
            <w:tcW w:w="983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 xml:space="preserve">Caseta 25. Tratament simplificat, fără genotipare/subtipizare a infecției cronice cu VHC, cu regimuri medicamentoase pangenotipice la pacienti fără ciroză sau cu ciroză compensată (Child-Pugh A)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77"/>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Tratamentul simplificat, fără genotipări/subtipări, pangenotipic, anti VHC trebuie utilizat pentru a îmbunătăți accesul la tratamentul bolilor determinate de VHC și crește rata de vindecare globală a infecțiilor în orice cadru în care determinarea genotipului și a subtipului nu este disponibilă, nu este accesibilă și/sau ar limita accesul la terapie (A1).</w:t>
            </w:r>
          </w:p>
          <w:p w:rsidR="00FF5E27" w:rsidRPr="00FF5E27" w:rsidRDefault="00FF5E27" w:rsidP="00461D8F">
            <w:pPr>
              <w:numPr>
                <w:ilvl w:val="0"/>
                <w:numId w:val="77"/>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Evaluarea pre-tratament poate fi limitată la dovada viremiei VHC (prezența ARN-HCV sau a antigenului central al VHC*) și determinarea prezenței sau absenței cirozei printr-o metodă neinvazivă (A1).</w:t>
            </w:r>
          </w:p>
          <w:p w:rsidR="00FF5E27" w:rsidRPr="00FF5E27" w:rsidRDefault="00FF5E27" w:rsidP="00461D8F">
            <w:pPr>
              <w:numPr>
                <w:ilvl w:val="0"/>
                <w:numId w:val="77"/>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Posibilele interacțiuni medicament-medicament trebuie să fie atent verificate și se fac modificări ale dozei implementate atunci când este necesar (A1).</w:t>
            </w:r>
          </w:p>
          <w:p w:rsidR="00FF5E27" w:rsidRPr="00FF5E27" w:rsidRDefault="00FF5E27" w:rsidP="00461D8F">
            <w:pPr>
              <w:numPr>
                <w:ilvl w:val="0"/>
                <w:numId w:val="77"/>
              </w:numPr>
              <w:spacing w:before="100" w:after="0" w:line="240" w:lineRule="auto"/>
              <w:ind w:left="357" w:right="-1"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Pacienții netratați fără ciroză sau cu ciroză compensată (Child-Pugh A) și pacienții cu experiență în tratament fără ciroză trebuie tratați fără testarea genotipului/subtipului fie cu: (i) combinația în doză fixă de sofosbuvirum și velpatasvirum* timp de 12 săptămâni sau (ii) combinația cu doză fixă de glecaprevirum* și pibrentasvirum timp de 8 săptămâni (B1).</w:t>
            </w:r>
          </w:p>
          <w:p w:rsidR="00FF5E27" w:rsidRPr="00FF5E27" w:rsidRDefault="00FF5E27" w:rsidP="00461D8F">
            <w:pPr>
              <w:numPr>
                <w:ilvl w:val="0"/>
                <w:numId w:val="77"/>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Pacienții experimentați cu tratament, cu ciroză compensată (Child-Pugh A) trebuie tratați fără testarea genotipului/subtipului fie cu: (I) combinația în doză fixă de sofosbuvirum și velpatasvirum* timp de 12 săptămâni, fie (II) combinație de glecaprevirum* și pibrentasvirum timp de 12 săptămâni (B1).</w:t>
            </w:r>
          </w:p>
          <w:p w:rsidR="00FF5E27" w:rsidRPr="00FF5E27" w:rsidRDefault="00FF5E27" w:rsidP="00461D8F">
            <w:pPr>
              <w:numPr>
                <w:ilvl w:val="0"/>
                <w:numId w:val="77"/>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sz w:val="24"/>
                <w:szCs w:val="24"/>
                <w:lang w:val="ro-RO" w:eastAsia="ru-RU"/>
              </w:rPr>
              <w:t>Este necesită testarea SVR la 12/24 săptămâni după finisarea tratamentului.</w:t>
            </w:r>
          </w:p>
          <w:p w:rsidR="00FF5E27" w:rsidRPr="00FF5E27" w:rsidRDefault="00FF5E27" w:rsidP="00461D8F">
            <w:pPr>
              <w:numPr>
                <w:ilvl w:val="0"/>
                <w:numId w:val="77"/>
              </w:numPr>
              <w:spacing w:before="100" w:after="0" w:line="240" w:lineRule="auto"/>
              <w:ind w:left="357" w:hanging="357"/>
              <w:jc w:val="both"/>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color w:val="232323"/>
                <w:sz w:val="24"/>
                <w:szCs w:val="24"/>
                <w:shd w:val="clear" w:color="auto" w:fill="FFFFFF"/>
                <w:lang w:val="ro-RO" w:eastAsia="ru-RU"/>
              </w:rPr>
              <w:t xml:space="preserve">Pentru </w:t>
            </w:r>
            <w:r w:rsidRPr="00FF5E27">
              <w:rPr>
                <w:rFonts w:ascii="Times New Roman" w:eastAsia="Times New Roman" w:hAnsi="Times New Roman" w:cs="Times New Roman"/>
                <w:sz w:val="24"/>
                <w:szCs w:val="24"/>
                <w:lang w:val="ro-RO" w:eastAsia="ru-RU"/>
              </w:rPr>
              <w:t>pacienţii cu comportamente cu risc ridicat și risc de reinfecție este necesită testarea SVR la 12 săptămâni după finisarea tratamentului și ulterior annual (B1).</w:t>
            </w:r>
          </w:p>
        </w:tc>
      </w:tr>
    </w:tbl>
    <w:p w:rsidR="00FF5E27" w:rsidRDefault="00FF5E27" w:rsidP="00D645AA">
      <w:pPr>
        <w:shd w:val="clear" w:color="auto" w:fill="FFFFFF"/>
        <w:spacing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b/>
          <w:bCs/>
          <w:color w:val="232323"/>
          <w:sz w:val="24"/>
          <w:szCs w:val="24"/>
          <w:shd w:val="clear" w:color="auto" w:fill="FFFFFF"/>
          <w:lang w:val="ro-RO"/>
        </w:rPr>
        <w:t>Notă: *</w:t>
      </w:r>
      <w:r w:rsidRPr="00FF5E27">
        <w:rPr>
          <w:rFonts w:ascii="Times New Roman" w:eastAsia="Times New Roman" w:hAnsi="Times New Roman" w:cs="Times New Roman"/>
          <w:color w:val="232323"/>
          <w:sz w:val="24"/>
          <w:szCs w:val="24"/>
          <w:shd w:val="clear" w:color="auto" w:fill="FFFFFF"/>
          <w:lang w:val="ro-RO"/>
        </w:rPr>
        <w:t xml:space="preserve">Dacă pacientul a efectuat sinestătător test pentru </w:t>
      </w:r>
      <w:bookmarkStart w:id="124" w:name="_Hlk151055446"/>
      <w:r w:rsidR="00D645AA">
        <w:rPr>
          <w:rFonts w:ascii="Times New Roman" w:eastAsia="Times New Roman" w:hAnsi="Times New Roman" w:cs="Times New Roman"/>
          <w:sz w:val="24"/>
          <w:szCs w:val="24"/>
          <w:lang w:val="ro-RO"/>
        </w:rPr>
        <w:t>antigenului central al VH</w:t>
      </w:r>
    </w:p>
    <w:p w:rsidR="00D645AA" w:rsidRDefault="00D645AA" w:rsidP="00D645AA">
      <w:pPr>
        <w:shd w:val="clear" w:color="auto" w:fill="FFFFFF"/>
        <w:spacing w:after="0" w:line="240" w:lineRule="auto"/>
        <w:jc w:val="both"/>
        <w:rPr>
          <w:rFonts w:ascii="Times New Roman" w:eastAsia="Times New Roman" w:hAnsi="Times New Roman" w:cs="Times New Roman"/>
          <w:sz w:val="24"/>
          <w:szCs w:val="24"/>
          <w:lang w:val="ro-RO"/>
        </w:rPr>
      </w:pPr>
    </w:p>
    <w:p w:rsidR="00D645AA" w:rsidRDefault="00D645AA" w:rsidP="00D645AA">
      <w:pPr>
        <w:shd w:val="clear" w:color="auto" w:fill="FFFFFF"/>
        <w:spacing w:after="0" w:line="240" w:lineRule="auto"/>
        <w:jc w:val="both"/>
        <w:rPr>
          <w:rFonts w:ascii="Times New Roman" w:eastAsia="Times New Roman" w:hAnsi="Times New Roman" w:cs="Times New Roman"/>
          <w:sz w:val="24"/>
          <w:szCs w:val="24"/>
          <w:lang w:val="ro-RO"/>
        </w:rPr>
      </w:pPr>
    </w:p>
    <w:p w:rsidR="00D645AA" w:rsidRPr="00FF5E27" w:rsidRDefault="00D645AA" w:rsidP="00D645AA">
      <w:pPr>
        <w:shd w:val="clear" w:color="auto" w:fill="FFFFFF"/>
        <w:spacing w:after="0" w:line="240" w:lineRule="auto"/>
        <w:jc w:val="both"/>
        <w:rPr>
          <w:rFonts w:ascii="Times New Roman" w:eastAsia="Times New Roman" w:hAnsi="Times New Roman" w:cs="Times New Roman"/>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F5E27" w:rsidRPr="00D645AA" w:rsidTr="00192733">
        <w:tc>
          <w:tcPr>
            <w:tcW w:w="9180"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Caseta 27.</w:t>
            </w:r>
            <w:r w:rsidRPr="00FF5E27">
              <w:rPr>
                <w:rFonts w:ascii="Times New Roman" w:eastAsia="Times New Roman" w:hAnsi="Times New Roman" w:cs="Times New Roman"/>
                <w:color w:val="232323"/>
                <w:sz w:val="24"/>
                <w:szCs w:val="24"/>
                <w:shd w:val="clear" w:color="auto" w:fill="FFFFFF"/>
                <w:lang w:val="ro-RO" w:eastAsia="ru-RU"/>
              </w:rPr>
              <w:t xml:space="preserve"> </w:t>
            </w:r>
            <w:r w:rsidRPr="00FF5E27">
              <w:rPr>
                <w:rFonts w:ascii="Times New Roman" w:eastAsia="Times New Roman" w:hAnsi="Times New Roman" w:cs="Times New Roman"/>
                <w:b/>
                <w:bCs/>
                <w:color w:val="232323"/>
                <w:sz w:val="24"/>
                <w:szCs w:val="24"/>
                <w:shd w:val="clear" w:color="auto" w:fill="FFFFFF"/>
                <w:lang w:val="ro-RO" w:eastAsia="ru-RU"/>
              </w:rPr>
              <w:t>Principii generale de tratament al hepatitei virale C cronice la pacienții cu ciroză decompensată (Child-Pugh B sau C) sau cu ciroză compensată (Child-Pugh A) cu episoade anterioare de decompensare</w:t>
            </w:r>
            <w:r w:rsidRPr="00FF5E27">
              <w:rPr>
                <w:rFonts w:ascii="Times New Roman" w:eastAsia="Times New Roman" w:hAnsi="Times New Roman" w:cs="Times New Roman"/>
                <w:sz w:val="24"/>
                <w:szCs w:val="24"/>
                <w:lang w:val="ro-RO" w:eastAsia="ru-RU"/>
              </w:rPr>
              <w:t xml:space="preserve"> [27]</w:t>
            </w:r>
          </w:p>
          <w:p w:rsidR="00FF5E27" w:rsidRPr="00FF5E27" w:rsidRDefault="00FF5E27" w:rsidP="00461D8F">
            <w:pPr>
              <w:numPr>
                <w:ilvl w:val="0"/>
                <w:numId w:val="115"/>
              </w:numPr>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Pacienți cu ciroză decompensată (Child-Pugh B sau C) trebuie tratați în centre experimentate cu</w:t>
            </w:r>
          </w:p>
          <w:p w:rsidR="00FF5E27" w:rsidRPr="00FF5E27" w:rsidRDefault="00FF5E27" w:rsidP="00FF5E27">
            <w:pPr>
              <w:spacing w:after="0" w:line="240" w:lineRule="auto"/>
              <w:ind w:left="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lastRenderedPageBreak/>
              <w:t>acces ușor la transplantul de ficat (A1).</w:t>
            </w:r>
          </w:p>
          <w:p w:rsidR="00FF5E27" w:rsidRPr="00FF5E27" w:rsidRDefault="00FF5E27" w:rsidP="00461D8F">
            <w:pPr>
              <w:numPr>
                <w:ilvl w:val="0"/>
                <w:numId w:val="115"/>
              </w:numPr>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Este necesară monitorizarea atentă a pacienților cu ciroză decompensată (Child Pugh B sau C) în timpul terapiei, cu posibilitatea de a opri terapia dacă există dovezi de agravarea decompensării în timpul tratamentului (A1).</w:t>
            </w:r>
          </w:p>
          <w:p w:rsidR="00FF5E27" w:rsidRPr="00FF5E27" w:rsidRDefault="00FF5E27" w:rsidP="00461D8F">
            <w:pPr>
              <w:numPr>
                <w:ilvl w:val="0"/>
                <w:numId w:val="115"/>
              </w:numPr>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u w:val="single"/>
                <w:shd w:val="clear" w:color="auto" w:fill="FFFFFF"/>
                <w:lang w:val="ro-RO"/>
              </w:rPr>
              <w:t>Regimurile care conțin inhibitori de protează sunt contraindicate la pacienții cu ciroză decompensată (Child-Pugh B sau C) și la pacienții cu ciroză compensată (Child Pugh A) cu episoade anterioare de decompensare (A1).</w:t>
            </w:r>
          </w:p>
          <w:p w:rsidR="00FF5E27" w:rsidRPr="00FF5E27" w:rsidRDefault="00FF5E27" w:rsidP="00461D8F">
            <w:pPr>
              <w:numPr>
                <w:ilvl w:val="0"/>
                <w:numId w:val="115"/>
              </w:numPr>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Pacienți cu ciroză decompensată (Child-Pugh B sau C) și pacienți cu ciroză compensată (Child-Pugh A) cu episoade anterioare de decompensare trebuie tratat cu combinația de doză fixă ​​de</w:t>
            </w:r>
          </w:p>
          <w:p w:rsidR="00FF5E27" w:rsidRPr="00FF5E27" w:rsidRDefault="00FF5E27" w:rsidP="00FF5E27">
            <w:pPr>
              <w:spacing w:after="0" w:line="240" w:lineRule="auto"/>
              <w:ind w:left="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sofosbuvirum și velpatasvirum cu ribavirinum* bazată pe greutate (1000 sau 1200 mg la pacienții &lt;75 kg sau ≥75 kg, respectiv) timp de 12 săptămâni (A1).</w:t>
            </w:r>
          </w:p>
          <w:p w:rsidR="00FF5E27" w:rsidRPr="00FF5E27" w:rsidRDefault="00FF5E27" w:rsidP="00461D8F">
            <w:pPr>
              <w:numPr>
                <w:ilvl w:val="0"/>
                <w:numId w:val="115"/>
              </w:numPr>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La pacienții cu ciroză decompensată (Child-Pugh B sau C), ribavirinum* poate fi începută la doza de 600 mg zilnic și doza ulterior ajustata în funcție de toleranță (B1).</w:t>
            </w:r>
          </w:p>
          <w:p w:rsidR="00FF5E27" w:rsidRPr="00FF5E27" w:rsidRDefault="00FF5E27" w:rsidP="00461D8F">
            <w:pPr>
              <w:numPr>
                <w:ilvl w:val="0"/>
                <w:numId w:val="115"/>
              </w:numPr>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Pacienți cu ciroză decompensată (Child-Pugh B sau C) și pacienți cu ciroză compensată (Child-Pugh A) cu episoade anterioare de decompensare, cu contraindicații pentru utilizarea ribavirinum* sau cu toleranța slabă la tratament cu ribavirinum* ar trebui să primească combinație cu doză fixă de sofosbuvirum și velpatasvirum* pentru 24 de săptămâni, fără ribavirinum* (A1).</w:t>
            </w:r>
          </w:p>
          <w:p w:rsidR="00FF5E27" w:rsidRPr="00FF5E27" w:rsidRDefault="00FF5E27" w:rsidP="00461D8F">
            <w:pPr>
              <w:numPr>
                <w:ilvl w:val="0"/>
                <w:numId w:val="115"/>
              </w:numPr>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La pacienții cu ciroză decompensată (Child-Pugh B sau C), ribavirinum* poate fi începută la doza de 600 mg zilnic și doza ulterior ajustată în funcție de toleranță (B1).</w:t>
            </w:r>
          </w:p>
          <w:p w:rsidR="00FF5E27" w:rsidRPr="00FF5E27" w:rsidRDefault="00FF5E27" w:rsidP="00461D8F">
            <w:pPr>
              <w:numPr>
                <w:ilvl w:val="0"/>
                <w:numId w:val="115"/>
              </w:numPr>
              <w:spacing w:before="100" w:after="0" w:line="240" w:lineRule="auto"/>
              <w:ind w:left="357" w:hanging="357"/>
              <w:jc w:val="both"/>
              <w:rPr>
                <w:rFonts w:ascii="Times New Roman" w:eastAsia="Times New Roman" w:hAnsi="Times New Roman" w:cs="Times New Roman"/>
                <w:b/>
                <w:bCs/>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Pacienți cu ciroză decompensată (Child-Pugh B sau C) și pacienți cu ciroză compensată (Child-Pugh A) cu episoade anterioare de decompensare, cu contraindicații pentru utilizarea ribavirinum* sau cu toleranța scăzută la tratament cu ribavirinum* trebuie să administreze combinație cu doză fixă de sofosbuvirum și velpatasvirum* pentru 24 de săptămâni fără ribavirinum* (A1).</w:t>
            </w:r>
          </w:p>
        </w:tc>
      </w:tr>
    </w:tbl>
    <w:p w:rsidR="00FF5E27" w:rsidRPr="00FF5E27" w:rsidRDefault="00FF5E27" w:rsidP="00FF5E27">
      <w:pPr>
        <w:shd w:val="clear" w:color="auto" w:fill="FFFFFF"/>
        <w:spacing w:after="0" w:line="240" w:lineRule="auto"/>
        <w:jc w:val="both"/>
        <w:rPr>
          <w:rFonts w:ascii="Times New Roman" w:eastAsia="Times New Roman" w:hAnsi="Times New Roman" w:cs="Times New Roman"/>
          <w:b/>
          <w:bCs/>
          <w:color w:val="232323"/>
          <w:sz w:val="24"/>
          <w:szCs w:val="24"/>
          <w:shd w:val="clear" w:color="auto" w:fill="FFFFFF"/>
          <w:lang w:val="ro-RO"/>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7"/>
      </w:tblGrid>
      <w:tr w:rsidR="00FF5E27" w:rsidRPr="00D645AA" w:rsidTr="00192733">
        <w:trPr>
          <w:trHeight w:val="1980"/>
        </w:trPr>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 xml:space="preserve">Caseta 28. </w:t>
            </w:r>
            <w:r w:rsidRPr="00FF5E27">
              <w:rPr>
                <w:rFonts w:ascii="Times New Roman" w:eastAsia="Times New Roman" w:hAnsi="Times New Roman" w:cs="Times New Roman"/>
                <w:b/>
                <w:bCs/>
                <w:sz w:val="24"/>
                <w:szCs w:val="24"/>
                <w:lang w:val="ro-RO" w:eastAsia="ru-RU"/>
              </w:rPr>
              <w:t>Tratamentul infecției cronice cu VHC la pacienții cu ciroză decompensată (Child-Pugh B sau C) cu sau fără indicație pentru transplant hepatic</w:t>
            </w:r>
            <w:r w:rsidRPr="00FF5E27">
              <w:rPr>
                <w:rFonts w:ascii="Times New Roman" w:eastAsia="Times New Roman" w:hAnsi="Times New Roman" w:cs="Times New Roman"/>
                <w:sz w:val="24"/>
                <w:szCs w:val="24"/>
                <w:lang w:val="ro-RO" w:eastAsia="ru-RU"/>
              </w:rPr>
              <w:t xml:space="preserve"> [27]</w:t>
            </w:r>
          </w:p>
          <w:p w:rsidR="00FF5E27" w:rsidRPr="00FF5E27" w:rsidRDefault="00FF5E27" w:rsidP="00461D8F">
            <w:pPr>
              <w:numPr>
                <w:ilvl w:val="0"/>
                <w:numId w:val="91"/>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Pacienții cu ciroză decompensată (Child-Pugh B sau C) care nu se află pe lista de așteptare pentru transplant hepatic și fără comorbidități concomitente care le-ar putea afecta supraviețuirea trebuie tratați de urgență (A1).</w:t>
            </w:r>
          </w:p>
          <w:p w:rsidR="00FF5E27" w:rsidRPr="00FF5E27" w:rsidRDefault="00FF5E27" w:rsidP="00461D8F">
            <w:pPr>
              <w:numPr>
                <w:ilvl w:val="0"/>
                <w:numId w:val="91"/>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Pacienții cu ciroză decompensată (Child-Pugh B sau C) fără HCC, care așteaptă transplant hepatic, cu un scor MELD &lt;18-20, trebuie tratați înainte de transplantul de ficat (A1).</w:t>
            </w:r>
          </w:p>
          <w:p w:rsidR="00FF5E27" w:rsidRPr="00FF5E27" w:rsidRDefault="00FF5E27" w:rsidP="00461D8F">
            <w:pPr>
              <w:numPr>
                <w:ilvl w:val="0"/>
                <w:numId w:val="91"/>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Pacienții cu ciroză decompensată (Child-Pugh B sau C), cu indicație de tratament, trebuie tratați cu combinația de doză fixă de sofosbuvirum și velpatasvirum plus ribavirinum* zilnică în funcție de greutate (1000 sau 1200 mg la pacienții &lt;75 kg sau ≥ 75 kg, respectiv) timp de 12 săptămâni. Ribavirinum* poate fi începută cu o doză de 600 mg pe zi, iar doza poate fi ajustată ulterior în funcție de toleranță (A1).</w:t>
            </w:r>
          </w:p>
          <w:p w:rsidR="00FF5E27" w:rsidRPr="00FF5E27" w:rsidRDefault="00FF5E27" w:rsidP="00461D8F">
            <w:pPr>
              <w:numPr>
                <w:ilvl w:val="0"/>
                <w:numId w:val="91"/>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Pacienții cu ciroză decompensată (Child-Pugh B sau C), cu indicație de tratament, cu contraindicații pentru ribavirinum* sau cu toleranță slabă la tratament cu ribavirinum*, trebuie tratați cu combinația în doză fixă de sofosbuvirum și velpatasvirum* timp de 24 de săptămâni, fără ribavirinum* (B1).</w:t>
            </w:r>
          </w:p>
          <w:p w:rsidR="00FF5E27" w:rsidRPr="00FF5E27" w:rsidRDefault="00FF5E27" w:rsidP="00461D8F">
            <w:pPr>
              <w:numPr>
                <w:ilvl w:val="0"/>
                <w:numId w:val="91"/>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t>Pacienții cu ciroză decompensată (Child-Pugh B sau C) fără HCC, care așteaptă transplant hepatic cu un scor MELD ≥18–20 trebuie transplantați mai întâi, fără tratament antiviral, iar infecția cu VHC trebuie tratată după transplant hepatic (B1).</w:t>
            </w:r>
          </w:p>
          <w:p w:rsidR="00FF5E27" w:rsidRPr="00FF5E27" w:rsidRDefault="00FF5E27" w:rsidP="00461D8F">
            <w:pPr>
              <w:numPr>
                <w:ilvl w:val="0"/>
                <w:numId w:val="91"/>
              </w:numPr>
              <w:shd w:val="clear" w:color="auto" w:fill="FFFFFF"/>
              <w:spacing w:before="100" w:after="0" w:line="240" w:lineRule="auto"/>
              <w:contextualSpacing/>
              <w:jc w:val="both"/>
              <w:rPr>
                <w:rFonts w:ascii="Times New Roman" w:eastAsia="Times New Roman" w:hAnsi="Times New Roman" w:cs="Times New Roman"/>
                <w:color w:val="232323"/>
                <w:sz w:val="24"/>
                <w:szCs w:val="24"/>
                <w:lang w:val="ro-RO" w:eastAsia="ru-RU"/>
              </w:rPr>
            </w:pPr>
            <w:r w:rsidRPr="00FF5E27">
              <w:rPr>
                <w:rFonts w:ascii="Times New Roman" w:eastAsia="Times New Roman" w:hAnsi="Times New Roman" w:cs="Times New Roman"/>
                <w:color w:val="232323"/>
                <w:sz w:val="24"/>
                <w:szCs w:val="24"/>
                <w:lang w:val="ro-RO" w:eastAsia="ru-RU"/>
              </w:rPr>
              <w:lastRenderedPageBreak/>
              <w:t>Dacă timpul de așteptare pe lista de transplant depășește 6 luni, pacienții cu ciroză decompensată (Child-Pugh B sau C) fără HCC care așteaptă transplant hepatic cu un scor MELD ≥18–20 trebuie tratați înainte de transplant, în funcție de circumstanțele locale (B1).</w:t>
            </w:r>
          </w:p>
        </w:tc>
      </w:tr>
    </w:tbl>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25" w:name="_Toc177994811"/>
      <w:r w:rsidRPr="00FF5E27">
        <w:rPr>
          <w:rFonts w:ascii="Times New Roman" w:eastAsia="Times New Roman" w:hAnsi="Times New Roman" w:cs="Times New Roman"/>
          <w:b/>
          <w:caps/>
          <w:spacing w:val="5"/>
          <w:sz w:val="24"/>
          <w:szCs w:val="24"/>
          <w:lang w:val="ro-RO" w:eastAsia="x-none"/>
        </w:rPr>
        <w:lastRenderedPageBreak/>
        <w:t xml:space="preserve">C.2.3.8.4. </w:t>
      </w:r>
      <w:r w:rsidRPr="00FF5E27">
        <w:rPr>
          <w:rFonts w:ascii="Times New Roman" w:eastAsia="Times New Roman" w:hAnsi="Times New Roman" w:cs="Times New Roman"/>
          <w:b/>
          <w:spacing w:val="15"/>
          <w:sz w:val="24"/>
          <w:szCs w:val="24"/>
          <w:shd w:val="clear" w:color="auto" w:fill="FFFFFF"/>
          <w:lang w:val="ro-RO" w:eastAsia="x-none"/>
        </w:rPr>
        <w:t>Tratamentul hepatitei virale C la pacientii cu transplant de organe solide (inclusiv ficat)</w:t>
      </w:r>
      <w:bookmarkEnd w:id="125"/>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7"/>
      </w:tblGrid>
      <w:tr w:rsidR="00FF5E27" w:rsidRPr="00D645AA" w:rsidTr="00C61FA4">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color w:val="232323"/>
                <w:sz w:val="24"/>
                <w:szCs w:val="24"/>
                <w:shd w:val="clear" w:color="auto" w:fill="FFFFFF"/>
                <w:lang w:val="ro-RO" w:eastAsia="ru-RU"/>
              </w:rPr>
              <w:t>Caseta 29.</w:t>
            </w:r>
            <w:r w:rsidRPr="00FF5E27">
              <w:rPr>
                <w:rFonts w:ascii="Times New Roman" w:eastAsia="Times New Roman" w:hAnsi="Times New Roman" w:cs="Times New Roman"/>
                <w:color w:val="232323"/>
                <w:sz w:val="24"/>
                <w:szCs w:val="24"/>
                <w:shd w:val="clear" w:color="auto" w:fill="FFFFFF"/>
                <w:lang w:val="ro-RO" w:eastAsia="ru-RU"/>
              </w:rPr>
              <w:t xml:space="preserve"> </w:t>
            </w:r>
            <w:r w:rsidRPr="00FF5E27">
              <w:rPr>
                <w:rFonts w:ascii="Times New Roman" w:eastAsia="Times New Roman" w:hAnsi="Times New Roman" w:cs="Times New Roman"/>
                <w:b/>
                <w:bCs/>
                <w:sz w:val="24"/>
                <w:szCs w:val="24"/>
                <w:lang w:val="ro-RO" w:eastAsia="ru-RU"/>
              </w:rPr>
              <w:t xml:space="preserve">Tratamentul hepatitei virale C la primitorii de transplant hepatic VHC-pozitivi cu recurență a VHC post-transplant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9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Toți pacienții cu recidivă post-transplant a infecției cu VHC trebuie tratați (A1).</w:t>
            </w:r>
          </w:p>
          <w:p w:rsidR="00FF5E27" w:rsidRPr="00FF5E27" w:rsidRDefault="00FF5E27" w:rsidP="00461D8F">
            <w:pPr>
              <w:numPr>
                <w:ilvl w:val="0"/>
                <w:numId w:val="9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Tratamentul trebuie inițiat devreme după transplantul hepatic, ideal cât mai devreme posibil când pacientul este stabilizat (în general după primele 3 luni post-transplant), deoarece SVR12 se diminuează la pacienții cu boală hepatică avansată post-transplant (A1).</w:t>
            </w:r>
          </w:p>
          <w:p w:rsidR="00FF5E27" w:rsidRPr="00FF5E27" w:rsidRDefault="00FF5E27" w:rsidP="00461D8F">
            <w:pPr>
              <w:numPr>
                <w:ilvl w:val="0"/>
                <w:numId w:val="9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Hepatita colestatică fibrozantă sau prezența fibrozei moderate până la extinse sau a hipertensiunii portale necesită tratament antiviral urgent (A1).</w:t>
            </w:r>
          </w:p>
          <w:p w:rsidR="00FF5E27" w:rsidRPr="00FF5E27" w:rsidRDefault="00FF5E27" w:rsidP="00461D8F">
            <w:pPr>
              <w:numPr>
                <w:ilvl w:val="0"/>
                <w:numId w:val="9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fără ciroză sau cu ciroză compensată (Child-Pugh A), cu recidivă de VHC post-transplant, trebuie tratați fie cu: (i) combinația în doză fixă de sofosbuvirum și velpatasvirum* timp de 12 săptămâni (fără a fi nevoie de ajustarea dozei de medicament imunosupresor) sau (ii) combinația în doză fixă de glecaprevirum* și pibrentasvirum timp de 12 săptămâni (cu necesitatea de a monitoriza nivelurile de medicamente imunosupresoare și de a ajusta doza după cum este necesar în timpul și după încheierea tratamentului) (B1).</w:t>
            </w:r>
          </w:p>
          <w:p w:rsidR="00FF5E27" w:rsidRPr="00FF5E27" w:rsidRDefault="00FF5E27" w:rsidP="00461D8F">
            <w:pPr>
              <w:numPr>
                <w:ilvl w:val="0"/>
                <w:numId w:val="9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ciroză decompensată (Child-Pugh B sau C), cu recidivă a VHC post-transplant, trebuie tratați cu o combinație în doză fixă ​​de sofosbuvirum și velpatasvirum cu ribavirinum* zilnică în funcție de greutate (1000 sau 1200 mg la pacienții &lt;75 kg sau ≥75 kg, respectiv) timp de 12 săptămâni (B1).</w:t>
            </w:r>
          </w:p>
          <w:p w:rsidR="00FF5E27" w:rsidRPr="00FF5E27" w:rsidRDefault="00FF5E27" w:rsidP="00461D8F">
            <w:pPr>
              <w:numPr>
                <w:ilvl w:val="0"/>
                <w:numId w:val="9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cu ciroză decompensată (Child-Pugh B sau C), cu recidivă a VHC post-transplant ribavirinum* poate fi începută cu doza de 600 mg zilnic și doza ulterior ajustată în funcție de toleranță (B1).</w:t>
            </w:r>
          </w:p>
          <w:p w:rsidR="00FF5E27" w:rsidRPr="00FF5E27" w:rsidRDefault="00FF5E27" w:rsidP="00461D8F">
            <w:pPr>
              <w:numPr>
                <w:ilvl w:val="0"/>
                <w:numId w:val="9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ciroză decompensată (Child-Pugh B sau C) cu recidivă a VHC post-transplant și contraindicații pentru ribavirinum*, sau cu toleranță slabă la tratament cu ribavirinum*, trebuie tratați cu o combinație în doză fixă de sofosbuvirum și velpatasvirum* timp de 24 de săptămâni, fără ribavirinum* ( B1).</w:t>
            </w:r>
          </w:p>
        </w:tc>
      </w:tr>
    </w:tbl>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7"/>
      </w:tblGrid>
      <w:tr w:rsidR="00FF5E27" w:rsidRPr="00D645AA" w:rsidTr="00C61FA4">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 xml:space="preserve">Caseta 30. Tratamentul hepatitei C la beneficiarii de transplant de organe solide nehepatice pozitivi pentru infecția cu VHC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93"/>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Beneficiarii de transplant de organe solide nehepatice, inclusive rinichi, inimă, plămâni, pancreas sau intestin subțire, trebuie tratați pentru infecția cu VHC înainte sau după transplant (A1).</w:t>
            </w:r>
          </w:p>
          <w:p w:rsidR="00FF5E27" w:rsidRPr="00FF5E27" w:rsidRDefault="00FF5E27" w:rsidP="00461D8F">
            <w:pPr>
              <w:numPr>
                <w:ilvl w:val="0"/>
                <w:numId w:val="93"/>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Înainte de transplantul de rinichi, inimă, plămân, pancreas sau intestin subțire, pacienții aflați pe lista de așteptare pot fi tratați pentru infecția cu VHC conform recomandărilor generale de mai sus (A1).</w:t>
            </w:r>
          </w:p>
          <w:p w:rsidR="00FF5E27" w:rsidRPr="00FF5E27" w:rsidRDefault="00FF5E27" w:rsidP="00461D8F">
            <w:pPr>
              <w:numPr>
                <w:ilvl w:val="0"/>
                <w:numId w:val="93"/>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lastRenderedPageBreak/>
              <w:t>După transplant, primitorii de transplant de organe solide, inclusiv cei care primesc rinichi, inimă, plămâni, pancreas sau intestin subțire, trebuie tratați cu o combinație de doză fixă de sofosbuvirum și velpatasvirum* timp de 12 săptămâni, fără a fi nevoie de ajustări ale dozei de medicamente imunosupresoare (B1).</w:t>
            </w:r>
          </w:p>
          <w:p w:rsidR="00FF5E27" w:rsidRPr="00FF5E27" w:rsidRDefault="00FF5E27" w:rsidP="00461D8F">
            <w:pPr>
              <w:numPr>
                <w:ilvl w:val="0"/>
                <w:numId w:val="93"/>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După transplant, primitorii de transplant de organe solide, inclusiv rinichi, inimă, plămâni, pancreas sau intestin subțire, pot fi tratați cu combinația în doză fixă de glecaprevirum* și pibrentasvirum timp de 12 săptămâni, dar nivelurile de medicamente imunosupresoare trebuie monitorizate și ajustate după cum este necesar în timpul și după încheierea tratamentului (B1).</w:t>
            </w:r>
          </w:p>
        </w:tc>
      </w:tr>
    </w:tbl>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7"/>
      </w:tblGrid>
      <w:tr w:rsidR="00FF5E27" w:rsidRPr="00D645AA" w:rsidTr="00C61FA4">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 xml:space="preserve">Caseta 31. Tratamentul hepatitei virale C la primitorii VHC negativi ai unui transplant de organ VHC pozitiv </w:t>
            </w:r>
            <w:r w:rsidRPr="00FF5E27">
              <w:rPr>
                <w:rFonts w:ascii="Times New Roman" w:eastAsia="Times New Roman" w:hAnsi="Times New Roman" w:cs="Times New Roman"/>
                <w:sz w:val="24"/>
                <w:szCs w:val="24"/>
                <w:lang w:val="ro-RO" w:eastAsia="ru-RU"/>
              </w:rPr>
              <w:t xml:space="preserve">[27] </w:t>
            </w:r>
          </w:p>
          <w:p w:rsidR="00FF5E27" w:rsidRPr="00FF5E27" w:rsidRDefault="00FF5E27" w:rsidP="00461D8F">
            <w:pPr>
              <w:numPr>
                <w:ilvl w:val="0"/>
                <w:numId w:val="94"/>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Organele de la donatori pozitivi pentru anticorpi anti-HCV, ARN-HCV pozitivi pot fi transplantați la primitori ARN-HCV pozitivi (B1).</w:t>
            </w:r>
          </w:p>
          <w:p w:rsidR="00FF5E27" w:rsidRPr="00FF5E27" w:rsidRDefault="00FF5E27" w:rsidP="00461D8F">
            <w:pPr>
              <w:numPr>
                <w:ilvl w:val="0"/>
                <w:numId w:val="94"/>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Este posibilă utilizarea organelor ARN-HCV pozitive pentru receptorii negativi ARN-HCV, cu condiția ca aceasta să fie permisă de reglementările locale, să se obțină consimțământ informat riguros și să fie garantată terapia rapidă cu DAA post-transplant (B1).</w:t>
            </w:r>
          </w:p>
          <w:p w:rsidR="00FF5E27" w:rsidRPr="00FF5E27" w:rsidRDefault="00FF5E27" w:rsidP="00461D8F">
            <w:pPr>
              <w:numPr>
                <w:ilvl w:val="0"/>
                <w:numId w:val="94"/>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Utilizarea grefelor hepatice ARN-HCV pozitive cu fibroză moderată (F2) sau avansată (F3) nu este recomandată (B2).</w:t>
            </w:r>
          </w:p>
          <w:p w:rsidR="00FF5E27" w:rsidRPr="00FF5E27" w:rsidRDefault="00FF5E27" w:rsidP="00461D8F">
            <w:pPr>
              <w:numPr>
                <w:ilvl w:val="0"/>
                <w:numId w:val="94"/>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Tratamentul infecției cu VHC la receptorii ARN-HCV negativi ai organelor ARN-HCV pozitive este identic cu tratamentul hepatitei virale C cronice la primitorii de transplant de organe solide infectați cu VHC (B1).</w:t>
            </w:r>
          </w:p>
          <w:p w:rsidR="00FF5E27" w:rsidRPr="00FF5E27" w:rsidRDefault="00FF5E27" w:rsidP="00461D8F">
            <w:pPr>
              <w:numPr>
                <w:ilvl w:val="0"/>
                <w:numId w:val="94"/>
              </w:numPr>
              <w:spacing w:before="100" w:after="0" w:line="240" w:lineRule="auto"/>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sz w:val="24"/>
                <w:szCs w:val="24"/>
                <w:lang w:val="ro-RO"/>
              </w:rPr>
              <w:t>Este o opțiune de a iniția tratamentul profilactic/prezumptiv al infecției cu VHC în recipienți ARN-HCV negativi ai organelor ARN-HCV positive chiar înainte de transplant, dar sunt necesare studii suplimentare pentru a determina regimul ideal și durata pre și post-transplant (C2).</w:t>
            </w:r>
          </w:p>
        </w:tc>
      </w:tr>
    </w:tbl>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26" w:name="_Toc177994812"/>
      <w:r w:rsidRPr="00FF5E27">
        <w:rPr>
          <w:rFonts w:ascii="Times New Roman" w:eastAsia="Times New Roman" w:hAnsi="Times New Roman" w:cs="Times New Roman"/>
          <w:b/>
          <w:caps/>
          <w:spacing w:val="5"/>
          <w:sz w:val="24"/>
          <w:szCs w:val="24"/>
          <w:lang w:val="ro-RO" w:eastAsia="x-none"/>
        </w:rPr>
        <w:t xml:space="preserve">C.2.3.8.5. </w:t>
      </w:r>
      <w:r w:rsidRPr="00FF5E27">
        <w:rPr>
          <w:rFonts w:ascii="Times New Roman" w:eastAsia="Times New Roman" w:hAnsi="Times New Roman" w:cs="Times New Roman"/>
          <w:b/>
          <w:spacing w:val="15"/>
          <w:sz w:val="24"/>
          <w:szCs w:val="24"/>
          <w:lang w:val="ro-RO" w:eastAsia="x-none"/>
        </w:rPr>
        <w:t>Tratamentul hepatitei virale C cronice la pacientii cu HCC</w:t>
      </w:r>
      <w:bookmarkEnd w:id="126"/>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C61FA4">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 xml:space="preserve">Caseta 32. Tratamentul hepatitei virale C cronice la pacienții cu HCC fără ciroză sau cu ciroză compensată (Child-Pugh A) cu indicație pentru terapie curativă, inclusiv transplant hepatic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95"/>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fără ciroză sau cu ciroză compensată (Child Pugh A) cu HCC care sunt eligibili pentru terapie potențial curativă cu rezecție sau ablație hepatică trebuie să amâne terapia DAA până la finalizarea tratamentului cu HCC (A1).</w:t>
            </w:r>
          </w:p>
          <w:p w:rsidR="00FF5E27" w:rsidRPr="00FF5E27" w:rsidRDefault="00FF5E27" w:rsidP="00461D8F">
            <w:pPr>
              <w:numPr>
                <w:ilvl w:val="0"/>
                <w:numId w:val="95"/>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cu HCC care așteaptă un transplant de ficat cu o infecție cu VHC, momentul tratamentului antiviral (pre sau post-transplant) nu trebuie să interfereze cu gestionarea pacientului pe lista de așteptare și trebuie să se hotărască de la caz la caz. baza de caz printr-o discuție multidisciplinară (B1).</w:t>
            </w:r>
          </w:p>
          <w:p w:rsidR="00FF5E27" w:rsidRPr="00FF5E27" w:rsidRDefault="00FF5E27" w:rsidP="00461D8F">
            <w:pPr>
              <w:numPr>
                <w:ilvl w:val="0"/>
                <w:numId w:val="95"/>
              </w:numPr>
              <w:spacing w:before="100" w:after="0" w:line="240" w:lineRule="auto"/>
              <w:ind w:right="34"/>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cu HCC care așteaptă transplant hepatic cu o infecție cu VHC în centre cu timpi de așteptare lungi, tratamentul VHC trebuie inițiat înainte de transplantul hepatic pentru a facilita terapiile locoregionale pentru a reduce abandonul listei de așteptare din cauza progresiei tumorii (B2).</w:t>
            </w:r>
          </w:p>
          <w:p w:rsidR="00FF5E27" w:rsidRPr="00FF5E27" w:rsidRDefault="00FF5E27" w:rsidP="00461D8F">
            <w:pPr>
              <w:numPr>
                <w:ilvl w:val="0"/>
                <w:numId w:val="95"/>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HCC fără ciroză sau cu ciroză compensată (Child-Pugh A) care așteaptă transplant hepatic trebuie tratați pentru infecția cu VHC, înainte sau după transplantul de ficat, conform recomandărilor generale (A1).</w:t>
            </w:r>
          </w:p>
        </w:tc>
      </w:tr>
    </w:tbl>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C61FA4">
        <w:trPr>
          <w:trHeight w:val="2604"/>
        </w:trPr>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Caseta 33. Tratamentul infecției virale cronice C la pacienții cu HCC tratat fără indicație pentru transplant hepatic.</w:t>
            </w:r>
            <w:r w:rsidRPr="00FF5E27">
              <w:rPr>
                <w:rFonts w:ascii="Times New Roman" w:eastAsia="Times New Roman" w:hAnsi="Times New Roman" w:cs="Times New Roman"/>
                <w:sz w:val="24"/>
                <w:szCs w:val="24"/>
                <w:lang w:val="ro-RO" w:eastAsia="ru-RU"/>
              </w:rPr>
              <w:t xml:space="preserve"> [27].</w:t>
            </w:r>
          </w:p>
          <w:p w:rsidR="00FF5E27" w:rsidRPr="00FF5E27" w:rsidRDefault="00FF5E27" w:rsidP="00461D8F">
            <w:pPr>
              <w:numPr>
                <w:ilvl w:val="0"/>
                <w:numId w:val="96"/>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răspuns complet la terapia HCC ar trebui să fie tratați pentru infecția cu VHC conform recomandărilor generale la pacienții fără HCC (A1).</w:t>
            </w:r>
          </w:p>
          <w:p w:rsidR="00FF5E27" w:rsidRPr="00FF5E27" w:rsidRDefault="00FF5E27" w:rsidP="00461D8F">
            <w:pPr>
              <w:numPr>
                <w:ilvl w:val="0"/>
                <w:numId w:val="96"/>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răspuns complet la terapia HCC care realizează SVR au un risc continuu de recidivă a HCC și necesită supraveghere nedefinită post-SVR pentru HCC, prin ecografie la fiecare 6 luni (A1).</w:t>
            </w:r>
          </w:p>
          <w:p w:rsidR="00FF5E27" w:rsidRPr="00FF5E27" w:rsidRDefault="00FF5E27" w:rsidP="00461D8F">
            <w:pPr>
              <w:numPr>
                <w:ilvl w:val="0"/>
                <w:numId w:val="96"/>
              </w:numPr>
              <w:spacing w:before="100" w:after="0" w:line="240" w:lineRule="auto"/>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sz w:val="24"/>
                <w:szCs w:val="24"/>
                <w:lang w:val="ro-RO"/>
              </w:rPr>
              <w:t>Pacienții tratați pentru HCC pot fi tratați pentru VHC în funcție de prognosticul general și de beneficiul potențial (B2).</w:t>
            </w:r>
          </w:p>
        </w:tc>
      </w:tr>
    </w:tbl>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rPr>
      </w:pPr>
    </w:p>
    <w:p w:rsidR="00FF5E27" w:rsidRPr="00FF5E27" w:rsidRDefault="00FF5E27" w:rsidP="00FF5E27">
      <w:pPr>
        <w:spacing w:after="0" w:line="240" w:lineRule="auto"/>
        <w:ind w:left="360"/>
        <w:jc w:val="both"/>
        <w:rPr>
          <w:rFonts w:ascii="Times New Roman" w:eastAsia="Times New Roman" w:hAnsi="Times New Roman" w:cs="Times New Roman"/>
          <w:sz w:val="24"/>
          <w:szCs w:val="24"/>
          <w:lang w:val="ro-RO"/>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C61FA4">
        <w:tc>
          <w:tcPr>
            <w:tcW w:w="5000" w:type="pct"/>
            <w:shd w:val="clear" w:color="auto" w:fill="auto"/>
          </w:tcPr>
          <w:p w:rsidR="00FF5E27" w:rsidRPr="00FF5E27" w:rsidRDefault="00192733" w:rsidP="00FF5E27">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b/>
                <w:bCs/>
                <w:sz w:val="24"/>
                <w:szCs w:val="24"/>
                <w:lang w:val="ro-RO" w:eastAsia="ru-RU"/>
              </w:rPr>
              <w:t>Caseta 36</w:t>
            </w:r>
            <w:r w:rsidR="00FF5E27" w:rsidRPr="00FF5E27">
              <w:rPr>
                <w:rFonts w:ascii="Times New Roman" w:eastAsia="Times New Roman" w:hAnsi="Times New Roman" w:cs="Times New Roman"/>
                <w:b/>
                <w:bCs/>
                <w:sz w:val="24"/>
                <w:szCs w:val="24"/>
                <w:lang w:val="ro-RO" w:eastAsia="ru-RU"/>
              </w:rPr>
              <w:t xml:space="preserve">. Tratamentul hepatitei virale C cronice la persoane care injectează droguri și la pacienții care primesc terapie de substituție cu opioide </w:t>
            </w:r>
            <w:r w:rsidR="00FF5E27"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99"/>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Persoanele care injectează droguri trebuie testate în mod obișnuit pentru anticorpi anti-HCV şi ARN-HCV (A1).</w:t>
            </w:r>
          </w:p>
          <w:p w:rsidR="00FF5E27" w:rsidRPr="00FF5E27" w:rsidRDefault="00FF5E27" w:rsidP="00461D8F">
            <w:pPr>
              <w:numPr>
                <w:ilvl w:val="0"/>
                <w:numId w:val="99"/>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Persoanele care injectează droguri care sunt ARN-HCV negativi trebuie testați pentru ARN-HCV anual și după orice episod de injectare cu risc ridicat (A1).</w:t>
            </w:r>
          </w:p>
          <w:p w:rsidR="00FF5E27" w:rsidRPr="00FF5E27" w:rsidRDefault="00FF5E27" w:rsidP="00461D8F">
            <w:pPr>
              <w:numPr>
                <w:ilvl w:val="0"/>
                <w:numId w:val="99"/>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Persoanelor care injectează droguri trebuie să li se ofere acces adecvat la terapie de substituție cu opioide și la echipamente curate de injectare a drogurilor, ca parte a unor programe cuprinzătoare de reducere a riscurilor, inclusiv în unități de corecție (A1).</w:t>
            </w:r>
          </w:p>
          <w:p w:rsidR="00FF5E27" w:rsidRPr="00FF5E27" w:rsidRDefault="00FF5E27" w:rsidP="00461D8F">
            <w:pPr>
              <w:numPr>
                <w:ilvl w:val="0"/>
                <w:numId w:val="99"/>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Toate persoanele care injectează droguri care sunt infectate cu VHC, inclusiv cei care administrează terapie de substituție cu opioide, cei cu antecedente de consum de droguri injectabile și cei care și-au injectat recent droguri, trebuie tratați conform recomandărilor generale (A1).</w:t>
            </w:r>
          </w:p>
          <w:p w:rsidR="00FF5E27" w:rsidRPr="00FF5E27" w:rsidRDefault="00FF5E27" w:rsidP="00461D8F">
            <w:pPr>
              <w:numPr>
                <w:ilvl w:val="0"/>
                <w:numId w:val="99"/>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Educaţia preterapeutică trebuie să includă discuţii şi consiliere despre transmiterea VHC, factorii de risc pentru progresia fibrozei, tratamentul, riscul de reinfecție și strategiile de reducere a efectelor nocive (A1).</w:t>
            </w:r>
          </w:p>
          <w:p w:rsidR="00FF5E27" w:rsidRPr="00FF5E27" w:rsidRDefault="00FF5E27" w:rsidP="00461D8F">
            <w:pPr>
              <w:numPr>
                <w:ilvl w:val="0"/>
                <w:numId w:val="99"/>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cu terapie de substituție cu opioide, terapia anti-HCV pe bază de DAA nu necesită ajustarea dozei de metadonă sau buprenorfină (A1).</w:t>
            </w:r>
          </w:p>
          <w:p w:rsidR="00FF5E27" w:rsidRPr="00FF5E27" w:rsidRDefault="00FF5E27" w:rsidP="00461D8F">
            <w:pPr>
              <w:numPr>
                <w:ilvl w:val="0"/>
                <w:numId w:val="99"/>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După SVR, monitorizarea pentru reinfecția cu VHC prin evaluarea anuală a ARN-HCV trebuie să fie întreprinse la persoanele care injectează droguri cu un comportament de risc în curs (A1).</w:t>
            </w:r>
          </w:p>
          <w:p w:rsidR="00FF5E27" w:rsidRPr="00FF5E27" w:rsidRDefault="00FF5E27" w:rsidP="00461D8F">
            <w:pPr>
              <w:numPr>
                <w:ilvl w:val="0"/>
                <w:numId w:val="99"/>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Retratamentul trebuie să fie disponibil dacă reinfecția este identificată în timpul urmăririi post-SVR (A1).Tratamentul HVC C trebuie extins la persoanele care injectează droguri pentru a crește probabilitatea de a atinge obiectivele de eliminare a VHC la acest grup de pacienți, inclusiv tratamentul ca prevenție (A1).</w:t>
            </w:r>
          </w:p>
        </w:tc>
      </w:tr>
    </w:tbl>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p>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27" w:name="_Toc177994814"/>
      <w:r w:rsidRPr="00FF5E27">
        <w:rPr>
          <w:rFonts w:ascii="Times New Roman" w:eastAsia="Times New Roman" w:hAnsi="Times New Roman" w:cs="Times New Roman"/>
          <w:b/>
          <w:caps/>
          <w:spacing w:val="5"/>
          <w:sz w:val="24"/>
          <w:szCs w:val="24"/>
          <w:lang w:val="ro-RO" w:eastAsia="x-none"/>
        </w:rPr>
        <w:t xml:space="preserve">C.2.3.8.7. </w:t>
      </w:r>
      <w:r w:rsidRPr="00FF5E27">
        <w:rPr>
          <w:rFonts w:ascii="Times New Roman" w:eastAsia="Times New Roman" w:hAnsi="Times New Roman" w:cs="Times New Roman"/>
          <w:b/>
          <w:spacing w:val="15"/>
          <w:sz w:val="24"/>
          <w:szCs w:val="24"/>
          <w:lang w:val="ro-RO" w:eastAsia="x-none"/>
        </w:rPr>
        <w:t>Tratamentul hepatitei virale C cronice la pacienții cu comorbidități</w:t>
      </w:r>
      <w:bookmarkEnd w:id="127"/>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C61FA4">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Caseta 38. Tratamentul hepatitei virale C cronice la pacienții cu manifestări mediate de complexul imun ale infecției cu VHC.</w:t>
            </w:r>
            <w:r w:rsidRPr="00FF5E27">
              <w:rPr>
                <w:rFonts w:ascii="Times New Roman" w:eastAsia="Times New Roman" w:hAnsi="Times New Roman" w:cs="Times New Roman"/>
                <w:sz w:val="24"/>
                <w:szCs w:val="24"/>
                <w:lang w:val="ro-RO" w:eastAsia="ru-RU"/>
              </w:rPr>
              <w:t xml:space="preserve"> [30].</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Crioglobulinemia mixtă și boala renală asociată cu infecția cronică cu VHC trebuie tratate cu combinații pan genotipice DAA, conform recomandărilor generale (B1).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Monitorizarea atentă a evenimentelor adverse este obligatorie atunci când se tratează </w:t>
            </w:r>
            <w:r w:rsidRPr="00FF5E27">
              <w:rPr>
                <w:rFonts w:ascii="Times New Roman" w:eastAsia="Times New Roman" w:hAnsi="Times New Roman" w:cs="Times New Roman"/>
                <w:sz w:val="24"/>
                <w:szCs w:val="24"/>
                <w:lang w:val="ro-RO"/>
              </w:rPr>
              <w:lastRenderedPageBreak/>
              <w:t>crioglobulinemia mixtă și boala renală asociată cu infecția cronică cu VHC cu combinații pangenotipice de DAA (B1).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Indicația rituximabului în boala renală legată de VHC trebuie discutată de o echipă multidisciplinară (B1).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Limfomul asociat VHC trebuie tratat cu regimuri de DAA pan genotipic, conform recomandărilor generale, în combinație cu chimioterapie specifică, ținând cont de posibilele interacțiuni medicament-medicament (B1).</w:t>
            </w:r>
          </w:p>
        </w:tc>
      </w:tr>
    </w:tbl>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C61FA4">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bookmarkStart w:id="128" w:name="_Hlk151152257"/>
            <w:r w:rsidRPr="00FF5E27">
              <w:rPr>
                <w:rFonts w:ascii="Times New Roman" w:eastAsia="Times New Roman" w:hAnsi="Times New Roman" w:cs="Times New Roman"/>
                <w:b/>
                <w:bCs/>
                <w:sz w:val="24"/>
                <w:szCs w:val="24"/>
                <w:lang w:val="ro-RO" w:eastAsia="ru-RU"/>
              </w:rPr>
              <w:t xml:space="preserve">Caseta 39. Tratamentul hepatitei virale C cronice la pacienții cu insuficiență renală, inclusiv la pacienții aflați în hemodializă </w:t>
            </w:r>
            <w:r w:rsidRPr="00FF5E27">
              <w:rPr>
                <w:rFonts w:ascii="Times New Roman" w:eastAsia="Times New Roman" w:hAnsi="Times New Roman" w:cs="Times New Roman"/>
                <w:sz w:val="24"/>
                <w:szCs w:val="24"/>
                <w:lang w:val="ro-RO" w:eastAsia="ru-RU"/>
              </w:rPr>
              <w:t>[27].</w:t>
            </w:r>
          </w:p>
          <w:bookmarkEnd w:id="128"/>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 cu insuficiență renală severă (eGFR &lt;30 ml/min/1,73 m2) și pacienții cu boală renală în stadiu terminal în hemodializă trebuie tratați în centre de experți, cu monitorizare atentă în timpul și post-tratament de către o echipă multidisciplinară (B1).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infecție cu VHC și insuficiență renală ușoară până la moderată (eGFR &gt;-30 ml/min/1,73 m2) sau severă (eGFR &lt;30 ml/min/1,73 m2), inclusiv cei cu boală renală în stadiu terminal în hemodializă. tratați pentru infecția lor cu VHC conform recomandărilor generale, fără a fi nevoie de ajustări ale dozei de DAA pentru VHC (A1).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Combinația cu doză fixă de glecaprevirum* și pibrentasvirum și, numai pentru pacienții infectați cu VHC genotip 1b, doza fixă de grazoprevirum* și elbasvirum* sunt alegerile preferate la pacienții cu insuficiență renală severă (eGFR &lt;30 ml/min) /1,73 m2) și la cei cu boală renală în stadiu terminal care necesită hemodializă (B1).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ciroză decompensată (Child-Pugh B sau C) și insuficiență renală ușoară până la moderată (eGFR &gt;-30 ml/min/1,73 m2) trebuie tratați cu o combinație în doză fixă de sofosbuvirum și velpatasvirum cu ribavirinum* timp de 12 săptămâni. Ribavirinum* poate fi începută cu o doză de 600 mg pe zi, iar doza poate fi ajustată ulterior în funcție de toleranța și nivelul hemoglobinei (B1).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ciroză decompensată (Child-Pugh B sau C) și insuficiență renală severă (eGFR &lt;30 ml/min/1,73 m2) trebuie tratați cu o combinație în doză fixă de sofosbuvirum și velpatasvirum* fără ribavirinum* timp de 24 de săptămâni (B1).).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Riscurile versus beneficiile tratării pacienților cu stadiu terminal cu boala renală și o indicație pentru transplantul de rinichi înainte sau după transplantul renal necesită evaluare individuală (B1).</w:t>
            </w:r>
          </w:p>
        </w:tc>
      </w:tr>
    </w:tbl>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rPr>
      </w:pPr>
      <w:bookmarkStart w:id="129" w:name="_Hlk151152727"/>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C61FA4">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 xml:space="preserve">Caseta 40. Tratamentul infecției cronice cu virusul hepatitei C la pacienții cu coinfecție VHB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101"/>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infectați concomitent cu VHC și VHB trebuie testați pentru HIV dacă statutul lor HIV este necunoscut (A1).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coinfectați cu VHC și VHB trebuie tratați cu aceleași regimuri anti-HCV, urmând aceleași reguli ca și pacienții monoinfectați cu VHC (A1).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infectați concomitent cu VHC și VHB care îndeplinesc criteriile standard pentru tratamentul VHB trebuie să primească tratament cu analogi nucleozidici/nucleotidici conform PCN (protocolului clinic national) privind gestionarea infecției cu virusul hepatitei B (A1).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color w:val="333333"/>
                <w:sz w:val="24"/>
                <w:szCs w:val="24"/>
                <w:lang w:val="ro-RO"/>
              </w:rPr>
              <w:t>Pacienții care sunt pozitivi pentru antigenul HBs trebuie să primească profilaxie cu nucleozide/analogi</w:t>
            </w:r>
            <w:r w:rsidRPr="00FF5E27">
              <w:rPr>
                <w:rFonts w:ascii="Times New Roman" w:eastAsia="Times New Roman" w:hAnsi="Times New Roman" w:cs="Times New Roman"/>
                <w:sz w:val="24"/>
                <w:szCs w:val="24"/>
                <w:lang w:val="ro-RO"/>
              </w:rPr>
              <w:t xml:space="preserve"> nucleotidici cel puțin până în săptămâna 12 după terapia anti-HCV și </w:t>
            </w:r>
            <w:r w:rsidRPr="00FF5E27">
              <w:rPr>
                <w:rFonts w:ascii="Times New Roman" w:eastAsia="Times New Roman" w:hAnsi="Times New Roman" w:cs="Times New Roman"/>
                <w:sz w:val="24"/>
                <w:szCs w:val="24"/>
                <w:lang w:val="ro-RO"/>
              </w:rPr>
              <w:lastRenderedPageBreak/>
              <w:t>să fie monitorizați lunar dacă tratamentul HBV este oprit (B1).</w:t>
            </w:r>
          </w:p>
          <w:p w:rsidR="00FF5E27" w:rsidRPr="00FF5E27" w:rsidRDefault="00FF5E27" w:rsidP="00461D8F">
            <w:pPr>
              <w:numPr>
                <w:ilvl w:val="0"/>
                <w:numId w:val="100"/>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care sunt negativi pentru AgHBs, dar pozitivi pentru anticorpi anti-HBc, nivelurile serice de ALT trebuie monitorizate lunar pentru a detecta o posibilă reactivare (B1).</w:t>
            </w:r>
          </w:p>
        </w:tc>
      </w:tr>
      <w:bookmarkEnd w:id="129"/>
    </w:tbl>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C61FA4">
        <w:tc>
          <w:tcPr>
            <w:tcW w:w="9464" w:type="dxa"/>
            <w:shd w:val="clear" w:color="auto" w:fill="auto"/>
          </w:tcPr>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b/>
                <w:bCs/>
                <w:sz w:val="24"/>
                <w:szCs w:val="24"/>
                <w:lang w:val="ro-RO"/>
              </w:rPr>
              <w:t>Caseta 41. Tratamentul infecției cronice cu virusul hepatitei C la pacienții cu coinfecție HIV</w:t>
            </w:r>
          </w:p>
          <w:p w:rsidR="00FF5E27" w:rsidRPr="00FF5E27" w:rsidRDefault="00875399" w:rsidP="00FF5E27">
            <w:pPr>
              <w:spacing w:after="0" w:line="240" w:lineRule="auto"/>
              <w:jc w:val="both"/>
              <w:rPr>
                <w:rFonts w:ascii="Times New Roman" w:eastAsia="Times New Roman" w:hAnsi="Times New Roman" w:cs="Times New Roman"/>
                <w:sz w:val="24"/>
                <w:szCs w:val="24"/>
                <w:lang w:val="ro-RO"/>
              </w:rPr>
            </w:pPr>
            <w:hyperlink r:id="rId94" w:history="1">
              <w:r w:rsidR="00FF5E27" w:rsidRPr="00FF5E27">
                <w:rPr>
                  <w:rFonts w:ascii="Times New Roman" w:eastAsia="Times New Roman" w:hAnsi="Times New Roman" w:cs="Times New Roman"/>
                  <w:color w:val="0000FF"/>
                  <w:sz w:val="24"/>
                  <w:szCs w:val="24"/>
                  <w:u w:val="single"/>
                  <w:lang w:val="ro-RO"/>
                </w:rPr>
                <w:t>https://www.hepatitisc.uw.edu/go/key-populations-situations/treatment-hiv-coinfection/core-concept/all</w:t>
              </w:r>
            </w:hyperlink>
          </w:p>
          <w:p w:rsidR="00FF5E27" w:rsidRPr="00FF5E27" w:rsidRDefault="00FF5E27" w:rsidP="00461D8F">
            <w:pPr>
              <w:numPr>
                <w:ilvl w:val="0"/>
                <w:numId w:val="116"/>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 xml:space="preserve">La persoanele cu VHC </w:t>
            </w:r>
            <w:r w:rsidRPr="00FF5E27">
              <w:rPr>
                <w:rFonts w:ascii="Times New Roman" w:eastAsia="Times New Roman" w:hAnsi="Times New Roman" w:cs="Times New Roman"/>
                <w:sz w:val="24"/>
                <w:szCs w:val="24"/>
                <w:lang w:val="ro-RO"/>
              </w:rPr>
              <w:t>cronică</w:t>
            </w:r>
            <w:r w:rsidRPr="00FF5E27">
              <w:rPr>
                <w:rFonts w:ascii="Times New Roman" w:eastAsia="Times New Roman" w:hAnsi="Times New Roman" w:cs="Times New Roman"/>
                <w:color w:val="333333"/>
                <w:sz w:val="24"/>
                <w:szCs w:val="24"/>
                <w:lang w:val="ro-RO"/>
              </w:rPr>
              <w:t>, coinfecția cu HIV accelerează progresia fibrozei hepatice. Prin urmare, tratamentul atât pentru HIV, cât și pentru VHC trebuie să aibă o prioritate la persoanele cu coinfecție HIV-VHC.</w:t>
            </w:r>
          </w:p>
          <w:p w:rsidR="00FF5E27" w:rsidRPr="00FF5E27" w:rsidRDefault="00FF5E27" w:rsidP="00461D8F">
            <w:pPr>
              <w:numPr>
                <w:ilvl w:val="0"/>
                <w:numId w:val="116"/>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Disponibilitatea unor regimuri DAA extrem de eficiente, convenabile și sigure a schimbat peisajul tratamentului VHC pentru persoanele cu coinfecție HIV-VHC. Studii multiple care utilizează regimuri de tratament DAA HVC C au demonstrat rate comparabile de SVR12 la persoanele cu co-infecție HIV-VHC ca și la cele cu monoinfecție HVC C.</w:t>
            </w:r>
          </w:p>
          <w:p w:rsidR="00FF5E27" w:rsidRPr="00FF5E27" w:rsidRDefault="00FF5E27" w:rsidP="00461D8F">
            <w:pPr>
              <w:numPr>
                <w:ilvl w:val="0"/>
                <w:numId w:val="116"/>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 xml:space="preserve">Aceeași abordare a tratamentului cu VHC pentru persoanele cu co-infecție HIV-VHC ca și cu monoinfecția cu VHC, cu excepția regimurilor de tratament de 8 săptămâni trebuie extinse la regimuri de 12 săptămâni în câteva situații specifice. </w:t>
            </w:r>
          </w:p>
          <w:p w:rsidR="00FF5E27" w:rsidRPr="00FF5E27" w:rsidRDefault="00FF5E27" w:rsidP="00461D8F">
            <w:pPr>
              <w:numPr>
                <w:ilvl w:val="0"/>
                <w:numId w:val="116"/>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Atenție specială trebuie acordată monitorizării și gestionării interacțiunilor medicamentoase cu antiretrovirale HIV și HVC C cu DAA.</w:t>
            </w:r>
          </w:p>
          <w:p w:rsidR="00FF5E27" w:rsidRPr="00FF5E27" w:rsidRDefault="00FF5E27" w:rsidP="00461D8F">
            <w:pPr>
              <w:numPr>
                <w:ilvl w:val="0"/>
                <w:numId w:val="116"/>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Terapia antiretrovirală este recomandată tuturor persoanelor cu HIV, inclusiv celor cu coinfecție HIV-VHC. Tratamentul HIV poate încetini progresia bolii hepatice la persoanele cu coinfecție HIV-VHC.</w:t>
            </w:r>
          </w:p>
          <w:p w:rsidR="00FF5E27" w:rsidRPr="00FF5E27" w:rsidRDefault="00FF5E27" w:rsidP="00461D8F">
            <w:pPr>
              <w:numPr>
                <w:ilvl w:val="0"/>
                <w:numId w:val="116"/>
              </w:numPr>
              <w:spacing w:before="100" w:after="0" w:line="240" w:lineRule="auto"/>
              <w:ind w:left="357" w:hanging="357"/>
              <w:jc w:val="both"/>
              <w:rPr>
                <w:rFonts w:ascii="Times New Roman" w:eastAsia="Times New Roman" w:hAnsi="Times New Roman" w:cs="Times New Roman"/>
                <w:color w:val="333333"/>
                <w:sz w:val="24"/>
                <w:szCs w:val="24"/>
                <w:lang w:val="ro-RO"/>
              </w:rPr>
            </w:pPr>
            <w:r w:rsidRPr="00FF5E27">
              <w:rPr>
                <w:rFonts w:ascii="Times New Roman" w:eastAsia="Times New Roman" w:hAnsi="Times New Roman" w:cs="Times New Roman"/>
                <w:color w:val="333333"/>
                <w:sz w:val="24"/>
                <w:szCs w:val="24"/>
                <w:lang w:val="ro-RO"/>
              </w:rPr>
              <w:t xml:space="preserve">Pentru persoanele cu coinfecție HIV-VHC care nu sunt sub terapie antiretrovială și au un număr de celule CD4 mai mic de 200 celule/mm </w:t>
            </w:r>
            <w:r w:rsidRPr="00FF5E27">
              <w:rPr>
                <w:rFonts w:ascii="Times New Roman" w:eastAsia="Times New Roman" w:hAnsi="Times New Roman" w:cs="Times New Roman"/>
                <w:color w:val="333333"/>
                <w:sz w:val="24"/>
                <w:szCs w:val="24"/>
                <w:vertAlign w:val="superscript"/>
                <w:lang w:val="ro-RO"/>
              </w:rPr>
              <w:t>3</w:t>
            </w:r>
            <w:r w:rsidRPr="00FF5E27">
              <w:rPr>
                <w:rFonts w:ascii="Times New Roman" w:eastAsia="Times New Roman" w:hAnsi="Times New Roman" w:cs="Times New Roman"/>
                <w:color w:val="333333"/>
                <w:sz w:val="24"/>
                <w:szCs w:val="24"/>
                <w:lang w:val="ro-RO"/>
              </w:rPr>
              <w:t xml:space="preserve"> , este recomandabil să inițieze mai întâi terapia antiretrovială HIV și să amâne tratamentul HVC C până la obținerea unor niveluri nedetectabile de ARN HIV.</w:t>
            </w:r>
          </w:p>
        </w:tc>
      </w:tr>
    </w:tbl>
    <w:p w:rsidR="00FF5E27" w:rsidRPr="00FF5E27" w:rsidRDefault="00FF5E27" w:rsidP="00FF5E27">
      <w:pPr>
        <w:spacing w:after="0" w:line="240" w:lineRule="auto"/>
        <w:jc w:val="both"/>
        <w:rPr>
          <w:rFonts w:ascii="Times New Roman" w:eastAsia="Times New Roman" w:hAnsi="Times New Roman" w:cs="Times New Roman"/>
          <w:sz w:val="24"/>
          <w:szCs w:val="24"/>
          <w:lang w:val="ro-RO"/>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C61FA4">
        <w:trPr>
          <w:trHeight w:val="1991"/>
        </w:trPr>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Caseta 42. Tratamentul hepatitei virale C cronice la pacienții cu hemoglobinopatii și tulburări de sângerare.</w:t>
            </w:r>
            <w:r w:rsidRPr="00FF5E27">
              <w:rPr>
                <w:rFonts w:ascii="Times New Roman" w:eastAsia="Times New Roman" w:hAnsi="Times New Roman" w:cs="Times New Roman"/>
                <w:sz w:val="24"/>
                <w:szCs w:val="24"/>
                <w:lang w:val="ro-RO" w:eastAsia="ru-RU"/>
              </w:rPr>
              <w:t xml:space="preserve"> [27].</w:t>
            </w:r>
          </w:p>
          <w:p w:rsidR="00FF5E27" w:rsidRPr="00FF5E27" w:rsidRDefault="00FF5E27" w:rsidP="00461D8F">
            <w:pPr>
              <w:numPr>
                <w:ilvl w:val="0"/>
                <w:numId w:val="96"/>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Indicațiile pentru terapia HVC C sunt aceleași la pacienți cu și fără hemoglobinopatii sau tulburări de sângerare (A1).</w:t>
            </w:r>
          </w:p>
          <w:p w:rsidR="00FF5E27" w:rsidRPr="00FF5E27" w:rsidRDefault="00FF5E27" w:rsidP="00461D8F">
            <w:pPr>
              <w:numPr>
                <w:ilvl w:val="0"/>
                <w:numId w:val="96"/>
              </w:numPr>
              <w:spacing w:before="100" w:after="0" w:line="240" w:lineRule="auto"/>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sz w:val="24"/>
                <w:szCs w:val="24"/>
                <w:lang w:val="ro-RO"/>
              </w:rPr>
              <w:t>Pacienții cu hemoglobinopatii sau tulburări de sângerare trebuie tratați cu aceleași regimuri anti-HCV, urmând aceleași reguli ca și pacienții monoinfectați cu VHC (B1).</w:t>
            </w:r>
          </w:p>
        </w:tc>
      </w:tr>
    </w:tbl>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30" w:name="_Toc177994815"/>
      <w:r w:rsidRPr="00FF5E27">
        <w:rPr>
          <w:rFonts w:ascii="Times New Roman" w:eastAsia="Times New Roman" w:hAnsi="Times New Roman" w:cs="Times New Roman"/>
          <w:b/>
          <w:caps/>
          <w:spacing w:val="5"/>
          <w:sz w:val="24"/>
          <w:szCs w:val="24"/>
          <w:lang w:val="ro-RO" w:eastAsia="x-none"/>
        </w:rPr>
        <w:t xml:space="preserve">C.2.3.8.8. </w:t>
      </w:r>
      <w:r w:rsidRPr="00FF5E27">
        <w:rPr>
          <w:rFonts w:ascii="Times New Roman" w:eastAsia="Times New Roman" w:hAnsi="Times New Roman" w:cs="Times New Roman"/>
          <w:b/>
          <w:caps/>
          <w:spacing w:val="15"/>
          <w:sz w:val="24"/>
          <w:szCs w:val="24"/>
          <w:lang w:val="ro-RO" w:eastAsia="x-none"/>
        </w:rPr>
        <w:t>R</w:t>
      </w:r>
      <w:r w:rsidRPr="00FF5E27">
        <w:rPr>
          <w:rFonts w:ascii="Times New Roman" w:eastAsia="Times New Roman" w:hAnsi="Times New Roman" w:cs="Times New Roman"/>
          <w:b/>
          <w:spacing w:val="15"/>
          <w:sz w:val="24"/>
          <w:szCs w:val="24"/>
          <w:lang w:val="ro-RO" w:eastAsia="x-none"/>
        </w:rPr>
        <w:t>etratamentul antiviral după recădere la adulți. Retratarea eșecurilor DAA</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F5E27">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 xml:space="preserve">Caseta 43. Retratarea eșecurilor DAA.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102"/>
              </w:numPr>
              <w:spacing w:before="100" w:after="0" w:line="240" w:lineRule="auto"/>
              <w:ind w:right="-1"/>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care nu au reușit după oricare dintre schemele de tratament care conțin DAA trebuie să fie retratați în contextul unei echipe multidisciplinare care să includă infecționiști sau hepatologi cu experiență (B1).</w:t>
            </w:r>
          </w:p>
          <w:p w:rsidR="00FF5E27" w:rsidRPr="00FF5E27" w:rsidRDefault="00FF5E27" w:rsidP="00461D8F">
            <w:pPr>
              <w:numPr>
                <w:ilvl w:val="0"/>
                <w:numId w:val="10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Testarea rezistenței la VHC sau secvențierea VHC înainte de retratament la pacienții care au eșuat după oricare dintre schemele de tratament care conțin DAA este utilă pentru a ghida retratamentul în funcție de probabilitățile de răspuns, conform profilului de </w:t>
            </w:r>
            <w:r w:rsidRPr="00FF5E27">
              <w:rPr>
                <w:rFonts w:ascii="Times New Roman" w:eastAsia="Times New Roman" w:hAnsi="Times New Roman" w:cs="Times New Roman"/>
                <w:sz w:val="24"/>
                <w:szCs w:val="24"/>
                <w:lang w:val="ro-RO"/>
              </w:rPr>
              <w:lastRenderedPageBreak/>
              <w:t>rezistență observat (B1).</w:t>
            </w:r>
          </w:p>
          <w:p w:rsidR="00FF5E27" w:rsidRPr="00FF5E27" w:rsidRDefault="00FF5E27" w:rsidP="00461D8F">
            <w:pPr>
              <w:numPr>
                <w:ilvl w:val="0"/>
                <w:numId w:val="10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fără ciroză sau cu ciroză compensată (Child Pugh A) care au eșuat după un regim care conține DAA (inhibitor de protează și/sau inhibitor NS5A) trebuie tratați cu combinația în doză fixă de sofosbuvirum, velpatasvirum și voxilaprevirum* timp de 12 săptămâni (A1).</w:t>
            </w:r>
          </w:p>
          <w:p w:rsidR="00FF5E27" w:rsidRPr="00FF5E27" w:rsidRDefault="00FF5E27" w:rsidP="00461D8F">
            <w:pPr>
              <w:numPr>
                <w:ilvl w:val="0"/>
                <w:numId w:val="10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fără ciroză sau cu ciroză compensată (Child Pugh A) care au eșuat după un regim care conține DAA (inhibitor de protează și/sau inhibitor NS5A) și au predictori de răspuns mai scăzut la tratament (boală hepatică avansată, cure multiple de DAA, profil complex NS5A-RAS) pot fi retratați cu un regim combinate de sofosbuvirum plus combinația cu doză fixă de glecaprevirum și pibrentasvirum* timp de 12 săptămâni, pe baza unei decizii multidisciplinare individuale (B1).</w:t>
            </w:r>
          </w:p>
          <w:p w:rsidR="00FF5E27" w:rsidRPr="00FF5E27" w:rsidRDefault="00FF5E27" w:rsidP="00461D8F">
            <w:pPr>
              <w:numPr>
                <w:ilvl w:val="0"/>
                <w:numId w:val="10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foarte greu de vindecat (pacienți cu RAS-NS5A care nu au reușit să obțină SVR de două ori sau mai multe după un regim combinat care include o protează și/sau un inhibitor NS5A), combinația triplă de sofosbuvirum+ velpatasvirum+ voxilaprevirum* sau tripla combinație de sofosbuvirum, glecaprevirum+ pibrentasvirum* poate fi administrată timp de 12 săptămâni cu ribavirinum* în funcție de greutate (1.000 sau 1200 mg la pacienții &lt;75 kg sau, respectiv, ≥75 kg), și/sau durata tratamentului poate fi prelungită la 16 până la 24 săptămâni, pe baza unei decizii multidisciplinare individuale (B1).</w:t>
            </w:r>
          </w:p>
          <w:p w:rsidR="00FF5E27" w:rsidRPr="00FF5E27" w:rsidRDefault="00FF5E27" w:rsidP="00461D8F">
            <w:pPr>
              <w:numPr>
                <w:ilvl w:val="0"/>
                <w:numId w:val="10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care nu au reușit să obțină SVR după retratamentul cu combinația triplă de sofosbuvirum+ velpatasvirum+ voxilaprevirum*, poate fi administrată combinația triplă de sofosbuvirum cu glecaprevirum+ pibrentasvirum*, cu ribavirinum* în funcție de greutate (1.000 sau 1.200 mg la pacienți). &lt;75 kg sau, respectiv, ≥75 kg) (B1), timp de 24 de săptămâni.</w:t>
            </w:r>
          </w:p>
          <w:p w:rsidR="00FF5E27" w:rsidRPr="00FF5E27" w:rsidRDefault="00FF5E27" w:rsidP="00461D8F">
            <w:pPr>
              <w:numPr>
                <w:ilvl w:val="0"/>
                <w:numId w:val="102"/>
              </w:numPr>
              <w:spacing w:before="100" w:after="0" w:line="240" w:lineRule="auto"/>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cu ciroză decompensată (Child-Pugh B sau C) care au eșuat după un regim care conține DAA (inhibitor de protează și/sau inhibitor de NS5A) au contraindicație pentru utilizarea inhibitorilor de protează și, prin urmare, trebuie să fie retratați cu tratamentul cu doză fixă - combinația de sofosbuvirum+velpatasvirum, cu ribavirinum* în funcție de greutate (1.000 sau 1.200 mg la pacienții &lt;75 kg sau ≥75 kg, respectiv) timp de 24 de săptămâni, pe baza unei decizii multidisciplinare individuale (B1).</w:t>
            </w:r>
          </w:p>
        </w:tc>
      </w:tr>
    </w:tbl>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FF5E27" w:rsidRPr="00D645AA" w:rsidTr="00FA66DE">
        <w:tc>
          <w:tcPr>
            <w:tcW w:w="5000" w:type="pct"/>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0"/>
                <w:lang w:val="ro-RO" w:eastAsia="ru-RU"/>
              </w:rPr>
            </w:pPr>
            <w:r w:rsidRPr="00FF5E27">
              <w:rPr>
                <w:rFonts w:ascii="Times New Roman" w:eastAsia="Times New Roman" w:hAnsi="Times New Roman" w:cs="Times New Roman"/>
                <w:b/>
                <w:bCs/>
                <w:sz w:val="24"/>
                <w:szCs w:val="24"/>
                <w:lang w:val="ro-RO" w:eastAsia="ru-RU"/>
              </w:rPr>
              <w:t>Caseta</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b/>
                <w:bCs/>
                <w:sz w:val="24"/>
                <w:szCs w:val="24"/>
                <w:lang w:val="ro-RO" w:eastAsia="ru-RU"/>
              </w:rPr>
              <w:t>46.</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b/>
                <w:bCs/>
                <w:sz w:val="24"/>
                <w:szCs w:val="24"/>
                <w:lang w:val="ro-RO" w:eastAsia="ru-RU"/>
              </w:rPr>
              <w:t xml:space="preserve">Monitorizarea siguranței tratamentului </w:t>
            </w:r>
            <w:r w:rsidRPr="00FF5E27">
              <w:rPr>
                <w:rFonts w:ascii="Times New Roman" w:eastAsia="Times New Roman" w:hAnsi="Times New Roman" w:cs="Times New Roman"/>
                <w:sz w:val="24"/>
                <w:szCs w:val="24"/>
                <w:lang w:val="ro-RO" w:eastAsia="ru-RU"/>
              </w:rPr>
              <w:t>[27</w:t>
            </w:r>
            <w:r w:rsidRPr="00FF5E27">
              <w:rPr>
                <w:rFonts w:ascii="Times New Roman" w:eastAsia="Times New Roman" w:hAnsi="Times New Roman" w:cs="Times New Roman"/>
                <w:sz w:val="24"/>
                <w:szCs w:val="20"/>
                <w:lang w:val="ro-RO" w:eastAsia="ru-RU"/>
              </w:rPr>
              <w:t>].</w:t>
            </w:r>
          </w:p>
          <w:p w:rsidR="00FF5E27" w:rsidRPr="00FF5E27" w:rsidRDefault="00FF5E27" w:rsidP="00461D8F">
            <w:pPr>
              <w:numPr>
                <w:ilvl w:val="0"/>
                <w:numId w:val="104"/>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cărora li se administrează un regim care conține DAA trebuie evaluați pentru efectele secundare clinice la fiecare vizită (A1).</w:t>
            </w:r>
          </w:p>
          <w:p w:rsidR="00FF5E27" w:rsidRPr="00FF5E27" w:rsidRDefault="00FF5E27" w:rsidP="00461D8F">
            <w:pPr>
              <w:numPr>
                <w:ilvl w:val="0"/>
                <w:numId w:val="104"/>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Nivelurile ALT trebuie evaluate cel puțin la momentul initial și la 12 (sau 24) săptămâni după finisarea tratamentului și în caz de simptome sugestive (B1).</w:t>
            </w:r>
          </w:p>
          <w:p w:rsidR="00FF5E27" w:rsidRPr="00FF5E27" w:rsidRDefault="00FF5E27" w:rsidP="00461D8F">
            <w:pPr>
              <w:numPr>
                <w:ilvl w:val="0"/>
                <w:numId w:val="104"/>
              </w:numPr>
              <w:spacing w:before="100" w:after="0" w:line="240" w:lineRule="auto"/>
              <w:ind w:left="357" w:hanging="357"/>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sz w:val="24"/>
                <w:szCs w:val="24"/>
                <w:lang w:val="ro-RO"/>
              </w:rPr>
              <w:t>Funcția renală trebuie verificată lunar la pacienții cu eGFR redusă (A1).</w:t>
            </w:r>
          </w:p>
        </w:tc>
      </w:tr>
      <w:tr w:rsidR="00FF5E27" w:rsidRPr="00D645AA" w:rsidTr="00FA66DE">
        <w:tc>
          <w:tcPr>
            <w:tcW w:w="5000" w:type="pct"/>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eastAsia="ru-RU"/>
              </w:rPr>
            </w:pPr>
            <w:r w:rsidRPr="00FF5E27">
              <w:rPr>
                <w:rFonts w:ascii="Times New Roman" w:eastAsia="Times New Roman" w:hAnsi="Times New Roman" w:cs="Times New Roman"/>
                <w:color w:val="232323"/>
                <w:sz w:val="24"/>
                <w:szCs w:val="24"/>
                <w:lang w:val="ro-RO"/>
              </w:rPr>
              <w:t>În absența datelor care să sugereze altfel, suntem de acord cu recomandările AASLD/IDSA de a verifica testele de laborator de bază (hemoleucograma completă, calculul creatininei cu rata estimată de filtrare glomerulară (eGFR) și nivelurile enzimelor hepatice și bilirubinei) în săptămâna 4 de tratament cu orice regim, cu monitorizare mai frecventă pentru rezultatele sau tendințele în cauză .</w:t>
            </w:r>
          </w:p>
        </w:tc>
      </w:tr>
      <w:tr w:rsidR="00FF5E27" w:rsidRPr="00D645AA" w:rsidTr="00FA66DE">
        <w:trPr>
          <w:trHeight w:val="416"/>
        </w:trPr>
        <w:tc>
          <w:tcPr>
            <w:tcW w:w="5000" w:type="pct"/>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sz w:val="24"/>
                <w:szCs w:val="24"/>
                <w:shd w:val="clear" w:color="auto" w:fill="FFFFFF"/>
                <w:lang w:val="ro-RO"/>
              </w:rPr>
              <w:t xml:space="preserve">Monitorizare suplimentară pentru coinfecția cu VHB – </w:t>
            </w:r>
            <w:r w:rsidRPr="00FF5E27">
              <w:rPr>
                <w:rFonts w:ascii="Times New Roman" w:eastAsia="Times New Roman" w:hAnsi="Times New Roman" w:cs="Times New Roman"/>
                <w:color w:val="232323"/>
                <w:sz w:val="24"/>
                <w:szCs w:val="24"/>
                <w:shd w:val="clear" w:color="auto" w:fill="FFFFFF"/>
                <w:lang w:val="ro-RO"/>
              </w:rPr>
              <w:t>Pacienții cu dovezi de infecție anterioară sau actuală cu VHB (adică cei cu anticorpi de bază pozitivi pentru VHB [anti-HBc]) care nu sunt sub tratament antiviral VHB necesită o monitorizare specifică din cauza riscului de reactivare a VHB în timpul tratamentului VHC.</w:t>
            </w:r>
          </w:p>
          <w:p w:rsidR="00FF5E27" w:rsidRPr="00FF5E27" w:rsidRDefault="00FF5E27" w:rsidP="00461D8F">
            <w:pPr>
              <w:numPr>
                <w:ilvl w:val="0"/>
                <w:numId w:val="109"/>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lastRenderedPageBreak/>
              <w:t>Pentru cei care sunt pozitivi pentru antigenul de suprafață al VHB (HBsAg), trebuie efectuate următoarele:</w:t>
            </w:r>
          </w:p>
          <w:p w:rsidR="00FF5E27" w:rsidRPr="00FF5E27" w:rsidRDefault="00FF5E27" w:rsidP="00461D8F">
            <w:pPr>
              <w:numPr>
                <w:ilvl w:val="0"/>
                <w:numId w:val="110"/>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Obțineți un AND-HBV initial, înainte de terapia HVC C.</w:t>
            </w:r>
          </w:p>
          <w:p w:rsidR="00FF5E27" w:rsidRPr="00FF5E27" w:rsidRDefault="00FF5E27" w:rsidP="00461D8F">
            <w:pPr>
              <w:numPr>
                <w:ilvl w:val="0"/>
                <w:numId w:val="110"/>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Pentru cei care îndeplinesc criteriile pentru tratamentul antiviral al VHB, începeți tratamentul VHB înainte sau în același timp cu terapia HVC C.</w:t>
            </w:r>
          </w:p>
          <w:p w:rsidR="00FF5E27" w:rsidRPr="00FF5E27" w:rsidRDefault="00FF5E27" w:rsidP="00461D8F">
            <w:pPr>
              <w:numPr>
                <w:ilvl w:val="0"/>
                <w:numId w:val="110"/>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Pentru cei care nu îndeplinesc criteriile pentru terapia HBV, monitorizați nivelurile ADN-HBV la intervale regulate (de obicei - la fiecare patru săptămâni) în timpul terapiei HVC C. Inițiați terapia HBV pentru cei ale căror niveluri de AND-HBV îndeplinesc criteriile de includere în tratament.</w:t>
            </w:r>
          </w:p>
          <w:p w:rsidR="00FF5E27" w:rsidRPr="00FF5E27" w:rsidRDefault="00FF5E27" w:rsidP="00461D8F">
            <w:pPr>
              <w:numPr>
                <w:ilvl w:val="0"/>
                <w:numId w:val="109"/>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Pentru cei care sunt HBsAg negativ, dar cu anticorpii anti-HBcor pozitiv sugerăm monitorizarea reactivării VHB la acești pacienți prin verificarea enzimelor hepatice la intervale de patru săptămâni în timpul terapiei VHC. În cazul creșterilor inexplicabile ale enzimelor hepatice și în timpul și/sau după terminarea terapiei VHC, trebuie efectuate repetarea testelor AgHBs și AND-VHB. Reactivarea HBV este sugerată prin conversia de la un ADN nedetectabil la unul detectabil sau o creștere a nivelului ADN-ului HBV cu &gt; 2 log unități internaționale și poate justifica terapia antivirală pentru infecția cu HBV.</w:t>
            </w:r>
          </w:p>
        </w:tc>
      </w:tr>
      <w:tr w:rsidR="00FF5E27" w:rsidRPr="00D645AA" w:rsidTr="00FA66DE">
        <w:tc>
          <w:tcPr>
            <w:tcW w:w="5000" w:type="pct"/>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lastRenderedPageBreak/>
              <w:t xml:space="preserve">Monitorizarea lunară a testelor funcției hepatice la persoanele cu ciroză </w:t>
            </w:r>
          </w:p>
        </w:tc>
      </w:tr>
      <w:tr w:rsidR="00FF5E27" w:rsidRPr="00D645AA" w:rsidTr="00FA66DE">
        <w:tc>
          <w:tcPr>
            <w:tcW w:w="5000" w:type="pct"/>
            <w:shd w:val="clear" w:color="auto" w:fill="auto"/>
          </w:tcPr>
          <w:p w:rsidR="00FF5E27" w:rsidRPr="00FF5E27" w:rsidRDefault="00FF5E27" w:rsidP="00FF5E27">
            <w:pPr>
              <w:shd w:val="clear" w:color="auto" w:fill="EDECEB"/>
              <w:spacing w:after="0" w:line="240" w:lineRule="auto"/>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Monitorizați hipoglicemia pentru persoanele care iau medicamente pentru diabet</w:t>
            </w:r>
          </w:p>
        </w:tc>
      </w:tr>
      <w:tr w:rsidR="00FF5E27" w:rsidRPr="00D645AA" w:rsidTr="00FA66DE">
        <w:trPr>
          <w:trHeight w:val="269"/>
        </w:trPr>
        <w:tc>
          <w:tcPr>
            <w:tcW w:w="5000" w:type="pct"/>
            <w:shd w:val="clear" w:color="auto" w:fill="auto"/>
          </w:tcPr>
          <w:p w:rsidR="00FF5E27" w:rsidRPr="00FF5E27" w:rsidRDefault="00FF5E27" w:rsidP="00FF5E27">
            <w:pPr>
              <w:shd w:val="clear" w:color="auto" w:fill="EDECEB"/>
              <w:spacing w:after="0" w:line="240" w:lineRule="auto"/>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Monitorizarea INR la persoanele care iau warfarină</w:t>
            </w:r>
          </w:p>
        </w:tc>
      </w:tr>
      <w:tr w:rsidR="00FF5E27" w:rsidRPr="00D645AA" w:rsidTr="00FA66DE">
        <w:tc>
          <w:tcPr>
            <w:tcW w:w="5000" w:type="pct"/>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shd w:val="clear" w:color="auto" w:fill="FFFFFF"/>
                <w:lang w:val="ro-RO"/>
              </w:rPr>
            </w:pPr>
            <w:r w:rsidRPr="00FF5E27">
              <w:rPr>
                <w:rFonts w:ascii="Times New Roman" w:eastAsia="Times New Roman" w:hAnsi="Times New Roman" w:cs="Times New Roman"/>
                <w:color w:val="232323"/>
                <w:sz w:val="24"/>
                <w:szCs w:val="24"/>
                <w:shd w:val="clear" w:color="auto" w:fill="FFFFFF"/>
                <w:lang w:val="ro-RO"/>
              </w:rPr>
              <w:t xml:space="preserve">Monitorizare suplimentară pentru regimurile </w:t>
            </w:r>
            <w:r w:rsidRPr="00FF5E27">
              <w:rPr>
                <w:rFonts w:ascii="Times New Roman" w:eastAsia="Times New Roman" w:hAnsi="Times New Roman" w:cs="Times New Roman"/>
                <w:b/>
                <w:bCs/>
                <w:i/>
                <w:iCs/>
                <w:color w:val="232323"/>
                <w:sz w:val="24"/>
                <w:szCs w:val="24"/>
                <w:shd w:val="clear" w:color="auto" w:fill="FFFFFF"/>
                <w:lang w:val="ro-RO"/>
              </w:rPr>
              <w:t>elbasvirum*+grazoprevirum*</w:t>
            </w:r>
            <w:r w:rsidRPr="00FF5E27">
              <w:rPr>
                <w:rFonts w:ascii="Times New Roman" w:eastAsia="Times New Roman" w:hAnsi="Times New Roman" w:cs="Times New Roman"/>
                <w:color w:val="232323"/>
                <w:sz w:val="24"/>
                <w:szCs w:val="24"/>
                <w:shd w:val="clear" w:color="auto" w:fill="FFFFFF"/>
                <w:lang w:val="ro-RO"/>
              </w:rPr>
              <w:t xml:space="preserve"> – în plus, se recomandă un panou funcțional hepatic* obținut după 8 săptămâni de tratament și în săptămâna 12, dacă durata tratamentului este de 16 săptămâni. Dacă o creștere a ALT depășește de 10 ori nivelul inițial sau este însoțită de simptome sau hiperbilirubinemie, tratamentul trebuie întrerupt.</w:t>
            </w:r>
          </w:p>
        </w:tc>
      </w:tr>
      <w:tr w:rsidR="00FF5E27" w:rsidRPr="00D645AA" w:rsidTr="00FA66DE">
        <w:tc>
          <w:tcPr>
            <w:tcW w:w="5000" w:type="pct"/>
            <w:shd w:val="clear" w:color="auto" w:fill="auto"/>
          </w:tcPr>
          <w:p w:rsidR="00FF5E27" w:rsidRPr="00FF5E27" w:rsidRDefault="00FF5E27" w:rsidP="00FF5E27">
            <w:pPr>
              <w:shd w:val="clear" w:color="auto" w:fill="FFFFFF"/>
              <w:spacing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b/>
                <w:bCs/>
                <w:color w:val="232323"/>
                <w:sz w:val="24"/>
                <w:szCs w:val="24"/>
                <w:lang w:val="ro-RO"/>
              </w:rPr>
              <w:t>Regimuri care conțin ribavirinum*</w:t>
            </w:r>
          </w:p>
          <w:p w:rsidR="00FF5E27" w:rsidRPr="00FF5E27" w:rsidRDefault="00FF5E27" w:rsidP="00461D8F">
            <w:pPr>
              <w:numPr>
                <w:ilvl w:val="0"/>
                <w:numId w:val="111"/>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Verificați hemoleucograma completă în săptămânile 4, 8 și 12 pentru a evalua anemia. Pentru cei care dezvoltă anemie, doza de </w:t>
            </w:r>
            <w:hyperlink r:id="rId95" w:history="1">
              <w:r w:rsidRPr="00FF5E27">
                <w:rPr>
                  <w:rFonts w:ascii="Times New Roman" w:eastAsia="Times New Roman" w:hAnsi="Times New Roman" w:cs="Times New Roman"/>
                  <w:sz w:val="24"/>
                  <w:szCs w:val="24"/>
                  <w:lang w:val="ro-RO"/>
                </w:rPr>
                <w:t>ribavirin</w:t>
              </w:r>
            </w:hyperlink>
            <w:r w:rsidRPr="00FF5E27">
              <w:rPr>
                <w:rFonts w:ascii="Times New Roman" w:eastAsia="Times New Roman" w:hAnsi="Times New Roman" w:cs="Times New Roman"/>
                <w:sz w:val="24"/>
                <w:szCs w:val="24"/>
                <w:lang w:val="ro-RO"/>
              </w:rPr>
              <w:t>um</w:t>
            </w:r>
            <w:r w:rsidRPr="00FF5E27">
              <w:rPr>
                <w:rFonts w:ascii="Times New Roman" w:eastAsia="Times New Roman" w:hAnsi="Times New Roman" w:cs="Times New Roman"/>
                <w:color w:val="232323"/>
                <w:sz w:val="24"/>
                <w:szCs w:val="24"/>
                <w:lang w:val="ro-RO"/>
              </w:rPr>
              <w:t>* poate fi ajustată în funcție de severitate și comorbidități. Pentru pacienții fără boală cardiacă, ribavirinum* poate fi redusă la 600 mg pe zi pentru niveluri de hemoglobină între 85 și 100 g/L și poate fi menținută pentru niveluri &lt;85 g/L. Pentru cei cu antecedente de boală cardiacă, ribavirinum* poate fi redusă la 600 mg pe zi pentru o scădere ≥20 g/L în orice perioadă de patru săptămâni și poate fi menținută pentru hemoglobină &lt;120 g/L la o doză redusă. Se poate încerca creșterea treptată a dozei de ribavirinum* cu 200 mg pe zi dacă pacienții au o creștere ulterioară a hemoglobinei.</w:t>
            </w:r>
          </w:p>
          <w:p w:rsidR="00FF5E27" w:rsidRPr="00FF5E27" w:rsidRDefault="00FF5E27" w:rsidP="00461D8F">
            <w:pPr>
              <w:numPr>
                <w:ilvl w:val="0"/>
                <w:numId w:val="111"/>
              </w:numPr>
              <w:shd w:val="clear" w:color="auto" w:fill="FFFFFF"/>
              <w:spacing w:before="100"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Pentru femeile aflate la vârsta fertilă care iau un regim care conține ribavirinum*, evaluarea utilizării contracepției și testarea sarcinii trebuie efectuate în timpul tratamentului și timp de șase luni după tratament. Bărbații care administrează regim care conține ribavirinum* trebuie sfătuiți cu privire la utilizarea contraceptivelor pentru relații sexuale cu o femeie aflată la vârsta fertilă în timpul tratamentului și timp de șase luni după tratament.</w:t>
            </w:r>
          </w:p>
        </w:tc>
      </w:tr>
    </w:tbl>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b/>
          <w:bCs/>
          <w:i/>
          <w:iCs/>
          <w:sz w:val="24"/>
          <w:szCs w:val="24"/>
          <w:lang w:val="ro-RO"/>
        </w:rPr>
        <w:t>Notă:</w:t>
      </w:r>
      <w:r w:rsidRPr="00FF5E27">
        <w:rPr>
          <w:rFonts w:ascii="Times New Roman" w:eastAsia="Times New Roman" w:hAnsi="Times New Roman" w:cs="Times New Roman"/>
          <w:b/>
          <w:bCs/>
          <w:sz w:val="24"/>
          <w:szCs w:val="24"/>
          <w:lang w:val="ro-RO"/>
        </w:rPr>
        <w:t xml:space="preserve"> *</w:t>
      </w:r>
      <w:r w:rsidRPr="00FF5E27">
        <w:rPr>
          <w:rFonts w:ascii="Times New Roman" w:eastAsia="Times New Roman" w:hAnsi="Times New Roman" w:cs="Times New Roman"/>
          <w:color w:val="232323"/>
          <w:sz w:val="24"/>
          <w:szCs w:val="24"/>
          <w:lang w:val="ro-RO"/>
        </w:rPr>
        <w:t>Panoul funcției hepatice trebuie să include: albumină, bilirubină totală, bilirubină directă, ALT, AST și fosfatază alcalină.</w:t>
      </w:r>
    </w:p>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333333"/>
          <w:sz w:val="24"/>
          <w:szCs w:val="24"/>
          <w:lang w:val="ro-RO"/>
        </w:rPr>
        <w:t>**Ribavirinum* poate provoca anemie hemolitică severă, mai ales la doze mai mari.</w:t>
      </w:r>
    </w:p>
    <w:p w:rsidR="00FF5E27" w:rsidRPr="00FF5E27" w:rsidRDefault="00FF5E27" w:rsidP="00FF5E27">
      <w:pPr>
        <w:spacing w:after="0" w:line="240" w:lineRule="auto"/>
        <w:jc w:val="both"/>
        <w:rPr>
          <w:rFonts w:ascii="Times New Roman" w:eastAsia="Times New Roman" w:hAnsi="Times New Roman" w:cs="Times New Roman"/>
          <w:color w:val="232323"/>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F5E27">
        <w:tc>
          <w:tcPr>
            <w:tcW w:w="983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 xml:space="preserve">Caseta 47. Monitorizarea interacțiunilor medicament-medicament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105"/>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 xml:space="preserve">Eficacitatea și toxicitatea medicamentelor administrate concomitent pentru comorbidități </w:t>
            </w:r>
            <w:r w:rsidRPr="00FF5E27">
              <w:rPr>
                <w:rFonts w:ascii="Times New Roman" w:eastAsia="Times New Roman" w:hAnsi="Times New Roman" w:cs="Times New Roman"/>
                <w:sz w:val="24"/>
                <w:szCs w:val="24"/>
                <w:lang w:val="ro-RO"/>
              </w:rPr>
              <w:lastRenderedPageBreak/>
              <w:t>și potențiale interacțiuni medicament-medicament trebuie monitorizate în timpul tratamentului (A1).</w:t>
            </w:r>
          </w:p>
          <w:p w:rsidR="00FF5E27" w:rsidRPr="00FF5E27" w:rsidRDefault="00FF5E27" w:rsidP="00461D8F">
            <w:pPr>
              <w:numPr>
                <w:ilvl w:val="0"/>
                <w:numId w:val="105"/>
              </w:numPr>
              <w:spacing w:before="100" w:after="0" w:line="240" w:lineRule="auto"/>
              <w:ind w:left="357" w:hanging="357"/>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sz w:val="24"/>
                <w:szCs w:val="24"/>
                <w:lang w:val="ro-RO"/>
              </w:rPr>
              <w:t>Atunci când este posibil, o co-medicație care interacționează trebuie oprită pe durata tratamentului VHC sau co-medicația care interacționează trebuie să fie schimbată cu un medicament alternativ cu potențial de interacțiune mai mic (B1).</w:t>
            </w:r>
          </w:p>
        </w:tc>
      </w:tr>
    </w:tbl>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F5E27">
        <w:tc>
          <w:tcPr>
            <w:tcW w:w="9833"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Caseta 48.</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b/>
                <w:bCs/>
                <w:sz w:val="24"/>
                <w:szCs w:val="24"/>
                <w:lang w:val="ro-RO" w:eastAsia="ru-RU"/>
              </w:rPr>
              <w:t xml:space="preserve">Reducerea dozei de tratament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106"/>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Tratamentul trebuie oprit în caz de evenimente adverse severe sau în caz de erupție ALT &gt; 10 ori faţă de limita superioară a valorilor normale (B1).</w:t>
            </w:r>
          </w:p>
          <w:p w:rsidR="00FF5E27" w:rsidRPr="00FF5E27" w:rsidRDefault="00FF5E27" w:rsidP="00461D8F">
            <w:pPr>
              <w:numPr>
                <w:ilvl w:val="0"/>
                <w:numId w:val="106"/>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La pacienții cu ciroză decompensată (Child-Pugh B sau C) care au nevoie de ribavirinum*, doza de ribavirinum* trebuie ajustată în scădere cu 200 mg, dacă nivelul hemoglobinei scade sub 10 g/dl (A1).</w:t>
            </w:r>
          </w:p>
          <w:p w:rsidR="00FF5E27" w:rsidRPr="00FF5E27" w:rsidRDefault="00FF5E27" w:rsidP="00461D8F">
            <w:pPr>
              <w:numPr>
                <w:ilvl w:val="0"/>
                <w:numId w:val="106"/>
              </w:numPr>
              <w:spacing w:before="100" w:after="0" w:line="240" w:lineRule="auto"/>
              <w:ind w:left="357" w:hanging="357"/>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sz w:val="24"/>
                <w:szCs w:val="24"/>
                <w:lang w:val="ro-RO"/>
              </w:rPr>
              <w:t>La pacienții cu ciroză decompensată (Child-Pugh B sau C) care au nevoie de ribavirinum*, administrarea ribavirinum* trebuie întreruptă dacă nivelul hemoglobinei scade sub 8,5 g/dl (A1).</w:t>
            </w:r>
          </w:p>
        </w:tc>
      </w:tr>
    </w:tbl>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31" w:name="_Toc177994818"/>
      <w:r w:rsidRPr="00FF5E27">
        <w:rPr>
          <w:rFonts w:ascii="Times New Roman" w:eastAsia="Times New Roman" w:hAnsi="Times New Roman" w:cs="Times New Roman"/>
          <w:b/>
          <w:caps/>
          <w:spacing w:val="5"/>
          <w:sz w:val="24"/>
          <w:szCs w:val="24"/>
          <w:lang w:val="ro-RO" w:eastAsia="x-none"/>
        </w:rPr>
        <w:t xml:space="preserve">C.2.3.10. </w:t>
      </w:r>
      <w:r w:rsidRPr="00FF5E27">
        <w:rPr>
          <w:rFonts w:ascii="Times New Roman" w:eastAsia="Times New Roman" w:hAnsi="Times New Roman" w:cs="Times New Roman"/>
          <w:b/>
          <w:spacing w:val="15"/>
          <w:sz w:val="24"/>
          <w:szCs w:val="24"/>
          <w:lang w:val="ro-RO" w:eastAsia="x-none"/>
        </w:rPr>
        <w:t>Supravegherea pacienților cu infecție cu VHC netratați și a celor tratați</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A66DE">
        <w:tc>
          <w:tcPr>
            <w:tcW w:w="9464"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Caseta 49. Supravegherea post-tratament a pacienților care realizează răspuns viral susținut (SVR)</w:t>
            </w:r>
            <w:r w:rsidRPr="00FF5E27">
              <w:rPr>
                <w:rFonts w:ascii="Times New Roman" w:eastAsia="Times New Roman" w:hAnsi="Times New Roman" w:cs="Times New Roman"/>
                <w:sz w:val="24"/>
                <w:szCs w:val="24"/>
                <w:lang w:val="ro-RO" w:eastAsia="ru-RU"/>
              </w:rPr>
              <w:t xml:space="preserve"> [27]</w:t>
            </w:r>
          </w:p>
          <w:p w:rsidR="00FF5E27" w:rsidRPr="00FF5E27" w:rsidRDefault="00FF5E27" w:rsidP="00461D8F">
            <w:pPr>
              <w:numPr>
                <w:ilvl w:val="0"/>
                <w:numId w:val="107"/>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fără fibroză și cei cu fibroză moderată (scor METAVIR F0-F2), cu SVR și fără comportament de risc în curs trebui excluși din supraveghere, cu condiția să nu aibă alte comorbidități (A1).</w:t>
            </w:r>
          </w:p>
          <w:p w:rsidR="00FF5E27" w:rsidRPr="00FF5E27" w:rsidRDefault="00FF5E27" w:rsidP="00461D8F">
            <w:pPr>
              <w:numPr>
                <w:ilvl w:val="0"/>
                <w:numId w:val="107"/>
              </w:numPr>
              <w:spacing w:before="100" w:after="0" w:line="240" w:lineRule="auto"/>
              <w:ind w:left="357" w:hanging="357"/>
              <w:jc w:val="both"/>
              <w:rPr>
                <w:rFonts w:ascii="Times New Roman" w:eastAsia="Times New Roman" w:hAnsi="Times New Roman" w:cs="Times New Roman"/>
                <w:sz w:val="24"/>
                <w:szCs w:val="24"/>
                <w:u w:val="single"/>
                <w:lang w:val="ro-RO"/>
              </w:rPr>
            </w:pPr>
            <w:r w:rsidRPr="00FF5E27">
              <w:rPr>
                <w:rFonts w:ascii="Times New Roman" w:eastAsia="Times New Roman" w:hAnsi="Times New Roman" w:cs="Times New Roman"/>
                <w:sz w:val="24"/>
                <w:szCs w:val="24"/>
                <w:lang w:val="ro-RO"/>
              </w:rPr>
              <w:t xml:space="preserve">Pacienții cu fibroză avansată (F3) sau ciroză (F4) cu SVR trebuie să fie supuși supravegherii pentru HCC la fiecare 6 luni prin ecografie, deoarece riscul de HCC de novo sau incident este redus, dar nu eliminat de SVR (A1). Alfa-fetoproteina poate fi utilizată concomitent, dar acesta nu este un instrument de screening sigur. </w:t>
            </w:r>
            <w:r w:rsidRPr="00FF5E27">
              <w:rPr>
                <w:rFonts w:ascii="Times New Roman" w:eastAsia="Times New Roman" w:hAnsi="Times New Roman" w:cs="Times New Roman"/>
                <w:sz w:val="24"/>
                <w:szCs w:val="24"/>
                <w:u w:val="single"/>
                <w:lang w:val="ro-RO"/>
              </w:rPr>
              <w:t>La pacienții cu ciroză, supravegherea varicelor esofagiene prin endoscopie trebuie efectuată dacă varicele au fost prezente la endoscopia pre-tratament sau dacă numărul de trombocite scade sub 150.000 și elastografia crește la mai mult de 20 kPa (A1).</w:t>
            </w:r>
          </w:p>
          <w:p w:rsidR="00FF5E27" w:rsidRPr="00FF5E27" w:rsidRDefault="00FF5E27" w:rsidP="00461D8F">
            <w:pPr>
              <w:numPr>
                <w:ilvl w:val="0"/>
                <w:numId w:val="107"/>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Riscul de reinfecție trebuie explicat pentru a modifica comportamentul de risc în populațiile cu risc (B1).</w:t>
            </w:r>
          </w:p>
          <w:p w:rsidR="00FF5E27" w:rsidRPr="00FF5E27" w:rsidRDefault="00FF5E27" w:rsidP="00461D8F">
            <w:pPr>
              <w:numPr>
                <w:ilvl w:val="0"/>
                <w:numId w:val="107"/>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După SVR, monitorizarea reinfectării cu VHC prin evaluări anuale a ARN-HCV trebuie efectuată la persoanele care injectează droguri sau la bărbații care întrețin sex cu bărbați, cu comportament de risc în curs (A1).</w:t>
            </w:r>
          </w:p>
          <w:p w:rsidR="00FF5E27" w:rsidRPr="00FF5E27" w:rsidRDefault="00FF5E27" w:rsidP="00461D8F">
            <w:pPr>
              <w:numPr>
                <w:ilvl w:val="0"/>
                <w:numId w:val="107"/>
              </w:numPr>
              <w:spacing w:before="100" w:after="0" w:line="240" w:lineRule="auto"/>
              <w:ind w:left="357" w:hanging="357"/>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sz w:val="24"/>
                <w:szCs w:val="24"/>
                <w:lang w:val="ro-RO"/>
              </w:rPr>
              <w:t>Retratamentul trebuie să fie oferit fără stigmatizare sau întârziere acelor pacienți care sunt reinfectați (A1).</w:t>
            </w:r>
          </w:p>
        </w:tc>
      </w:tr>
    </w:tbl>
    <w:p w:rsidR="00FF5E27" w:rsidRPr="00FF5E27" w:rsidRDefault="00FF5E27" w:rsidP="00FF5E27">
      <w:pPr>
        <w:spacing w:after="0" w:line="240" w:lineRule="auto"/>
        <w:jc w:val="both"/>
        <w:rPr>
          <w:rFonts w:ascii="Times New Roman" w:eastAsia="Times New Roman" w:hAnsi="Times New Roman" w:cs="Times New Roman"/>
          <w:b/>
          <w:bCs/>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5E27" w:rsidRPr="00D645AA" w:rsidTr="00FA66DE">
        <w:tc>
          <w:tcPr>
            <w:tcW w:w="9464" w:type="dxa"/>
            <w:shd w:val="clear" w:color="auto" w:fill="auto"/>
          </w:tcPr>
          <w:p w:rsidR="00FF5E27" w:rsidRPr="00FF5E27" w:rsidRDefault="00FF5E27" w:rsidP="00FF5E27">
            <w:pPr>
              <w:spacing w:after="0" w:line="240" w:lineRule="auto"/>
              <w:rPr>
                <w:rFonts w:ascii="Times New Roman" w:eastAsia="Times New Roman" w:hAnsi="Times New Roman" w:cs="Times New Roman"/>
                <w:sz w:val="24"/>
                <w:szCs w:val="24"/>
                <w:lang w:val="ro-RO" w:eastAsia="ru-RU"/>
              </w:rPr>
            </w:pPr>
            <w:r w:rsidRPr="00FF5E27">
              <w:rPr>
                <w:rFonts w:ascii="Times New Roman" w:eastAsia="Times New Roman" w:hAnsi="Times New Roman" w:cs="Times New Roman"/>
                <w:b/>
                <w:bCs/>
                <w:sz w:val="24"/>
                <w:szCs w:val="24"/>
                <w:lang w:val="ro-RO" w:eastAsia="ru-RU"/>
              </w:rPr>
              <w:t>Caseta 50.</w:t>
            </w:r>
            <w:r w:rsidRPr="00FF5E27">
              <w:rPr>
                <w:rFonts w:ascii="Times New Roman" w:eastAsia="Times New Roman" w:hAnsi="Times New Roman" w:cs="Times New Roman"/>
                <w:sz w:val="24"/>
                <w:szCs w:val="24"/>
                <w:lang w:val="ro-RO" w:eastAsia="ru-RU"/>
              </w:rPr>
              <w:t xml:space="preserve"> </w:t>
            </w:r>
            <w:r w:rsidRPr="00FF5E27">
              <w:rPr>
                <w:rFonts w:ascii="Times New Roman" w:eastAsia="Times New Roman" w:hAnsi="Times New Roman" w:cs="Times New Roman"/>
                <w:b/>
                <w:bCs/>
                <w:sz w:val="24"/>
                <w:szCs w:val="24"/>
                <w:lang w:val="ro-RO" w:eastAsia="ru-RU"/>
              </w:rPr>
              <w:t xml:space="preserve">Supravegherea pacienţilor netratați și a pacienţilor cu eșecul definitiv al tratamentului </w:t>
            </w:r>
            <w:r w:rsidRPr="00FF5E27">
              <w:rPr>
                <w:rFonts w:ascii="Times New Roman" w:eastAsia="Times New Roman" w:hAnsi="Times New Roman" w:cs="Times New Roman"/>
                <w:sz w:val="24"/>
                <w:szCs w:val="24"/>
                <w:lang w:val="ro-RO" w:eastAsia="ru-RU"/>
              </w:rPr>
              <w:t>[27]</w:t>
            </w:r>
          </w:p>
          <w:p w:rsidR="00FF5E27" w:rsidRPr="00FF5E27" w:rsidRDefault="00FF5E27" w:rsidP="00461D8F">
            <w:pPr>
              <w:numPr>
                <w:ilvl w:val="0"/>
                <w:numId w:val="108"/>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Pacienții netratați cu hepatită virală C cronică și cei care au eșuat definitiv mai multe cure de tratament anterioare (pacienți incurabili) trebuie urmăriți în mod regulat (A1).</w:t>
            </w:r>
          </w:p>
          <w:p w:rsidR="00FF5E27" w:rsidRPr="00FF5E27" w:rsidRDefault="00FF5E27" w:rsidP="00461D8F">
            <w:pPr>
              <w:numPr>
                <w:ilvl w:val="0"/>
                <w:numId w:val="108"/>
              </w:numPr>
              <w:spacing w:before="100" w:after="0" w:line="240" w:lineRule="auto"/>
              <w:ind w:left="357" w:hanging="357"/>
              <w:jc w:val="both"/>
              <w:rPr>
                <w:rFonts w:ascii="Times New Roman" w:eastAsia="Times New Roman" w:hAnsi="Times New Roman" w:cs="Times New Roman"/>
                <w:sz w:val="24"/>
                <w:szCs w:val="24"/>
                <w:lang w:val="ro-RO"/>
              </w:rPr>
            </w:pPr>
            <w:r w:rsidRPr="00FF5E27">
              <w:rPr>
                <w:rFonts w:ascii="Times New Roman" w:eastAsia="Times New Roman" w:hAnsi="Times New Roman" w:cs="Times New Roman"/>
                <w:sz w:val="24"/>
                <w:szCs w:val="24"/>
                <w:lang w:val="ro-RO"/>
              </w:rPr>
              <w:t>Metodele neinvazive de stadializare a fibrozei sunt cele mai potrivite pentru evaluarea ulterioară la intervale de 1 până la 2 ani (A1).</w:t>
            </w:r>
          </w:p>
          <w:p w:rsidR="00FF5E27" w:rsidRPr="00FF5E27" w:rsidRDefault="00FF5E27" w:rsidP="00461D8F">
            <w:pPr>
              <w:numPr>
                <w:ilvl w:val="0"/>
                <w:numId w:val="108"/>
              </w:numPr>
              <w:spacing w:before="100" w:after="0" w:line="240" w:lineRule="auto"/>
              <w:ind w:left="357" w:hanging="357"/>
              <w:jc w:val="both"/>
              <w:rPr>
                <w:rFonts w:ascii="Times New Roman" w:eastAsia="Times New Roman" w:hAnsi="Times New Roman" w:cs="Times New Roman"/>
                <w:b/>
                <w:bCs/>
                <w:sz w:val="24"/>
                <w:szCs w:val="24"/>
                <w:lang w:val="ro-RO"/>
              </w:rPr>
            </w:pPr>
            <w:r w:rsidRPr="00FF5E27">
              <w:rPr>
                <w:rFonts w:ascii="Times New Roman" w:eastAsia="Times New Roman" w:hAnsi="Times New Roman" w:cs="Times New Roman"/>
                <w:sz w:val="24"/>
                <w:szCs w:val="24"/>
                <w:lang w:val="ro-RO"/>
              </w:rPr>
              <w:t xml:space="preserve">Supravegherea HCC la fiecare 6 luni trebuie continuată pe termen nedeterminat la </w:t>
            </w:r>
            <w:r w:rsidRPr="00FF5E27">
              <w:rPr>
                <w:rFonts w:ascii="Times New Roman" w:eastAsia="Times New Roman" w:hAnsi="Times New Roman" w:cs="Times New Roman"/>
                <w:sz w:val="24"/>
                <w:szCs w:val="24"/>
                <w:lang w:val="ro-RO"/>
              </w:rPr>
              <w:lastRenderedPageBreak/>
              <w:t>pacienții cu fibroză avansată (F3) și ciroză (F4) (A1).</w:t>
            </w:r>
          </w:p>
        </w:tc>
      </w:tr>
    </w:tbl>
    <w:p w:rsidR="00FF5E27" w:rsidRPr="00FF5E27" w:rsidRDefault="00FF5E27" w:rsidP="00FF5E27">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32" w:name="_Toc27770336"/>
      <w:bookmarkStart w:id="133" w:name="_Toc177994819"/>
      <w:bookmarkEnd w:id="124"/>
      <w:r w:rsidRPr="00FF5E27">
        <w:rPr>
          <w:rFonts w:ascii="Times New Roman" w:eastAsia="Times New Roman" w:hAnsi="Times New Roman" w:cs="Times New Roman"/>
          <w:b/>
          <w:spacing w:val="15"/>
          <w:sz w:val="24"/>
          <w:szCs w:val="24"/>
          <w:lang w:val="ro-RO" w:eastAsia="x-none"/>
        </w:rPr>
        <w:lastRenderedPageBreak/>
        <w:t>C.2.3.11. Prognoza în infecția cu virusul hepatitei C</w:t>
      </w:r>
      <w:bookmarkEnd w:id="132"/>
      <w:bookmarkEnd w:id="133"/>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9"/>
      </w:tblGrid>
      <w:tr w:rsidR="00FF5E27" w:rsidRPr="00D645AA" w:rsidTr="00FF5E27">
        <w:tc>
          <w:tcPr>
            <w:tcW w:w="5000" w:type="pct"/>
          </w:tcPr>
          <w:p w:rsidR="00FF5E27" w:rsidRPr="00FF5E27" w:rsidRDefault="00FF5E27" w:rsidP="00FF5E27">
            <w:pPr>
              <w:spacing w:after="0" w:line="240" w:lineRule="auto"/>
              <w:jc w:val="both"/>
              <w:rPr>
                <w:rFonts w:ascii="Times New Roman" w:eastAsia="Times New Roman" w:hAnsi="Times New Roman" w:cs="Times New Roman"/>
                <w:b/>
                <w:bCs/>
                <w:i/>
                <w:iCs/>
                <w:sz w:val="24"/>
                <w:szCs w:val="24"/>
                <w:lang w:val="ro-RO" w:eastAsia="ru-RU"/>
              </w:rPr>
            </w:pPr>
            <w:r w:rsidRPr="00FF5E27">
              <w:rPr>
                <w:rFonts w:ascii="Times New Roman" w:eastAsia="Times New Roman" w:hAnsi="Times New Roman" w:cs="Times New Roman"/>
                <w:b/>
                <w:sz w:val="24"/>
                <w:szCs w:val="24"/>
                <w:lang w:val="ro-RO" w:eastAsia="ru-RU"/>
              </w:rPr>
              <w:t xml:space="preserve">Caseta 51. </w:t>
            </w:r>
            <w:r w:rsidRPr="00FF5E27">
              <w:rPr>
                <w:rFonts w:ascii="Times New Roman" w:eastAsia="Times New Roman" w:hAnsi="Times New Roman" w:cs="Times New Roman"/>
                <w:b/>
                <w:bCs/>
                <w:sz w:val="24"/>
                <w:szCs w:val="24"/>
                <w:lang w:val="ro-RO" w:eastAsia="ru-RU"/>
              </w:rPr>
              <w:t>Prognoza în infecția cu virusul hepatitei C.</w:t>
            </w:r>
          </w:p>
          <w:p w:rsidR="00FF5E27" w:rsidRPr="00FF5E27" w:rsidRDefault="00FF5E27" w:rsidP="00461D8F">
            <w:pPr>
              <w:numPr>
                <w:ilvl w:val="0"/>
                <w:numId w:val="114"/>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După dobândirea VHC, 50 până la 85% dintre pacienți rămân infectați cronic. Dintre aceștia, aproximativ 5 până la 30% dezvoltă ciroză în următorii 20 până la 30 de ani, deși au fost descrise rate mai lente și mai rapide de progresie a fibrozei. Pacienții care dezvoltă ciroză prezintă un risc suplimentar de complicare a evenimentelor (cum ar fi hemoragia variceală, ascită și encefalopatie) și carcinom hepatocelular, deși mulți pacienți cu ciroză compensată rămân stabili de ani de zile. Supraviețuirea globală este scăzută la pacienții cu infecție cronică cu VHC, în special la cei care au dezvoltat ciroză. </w:t>
            </w:r>
          </w:p>
          <w:p w:rsidR="00FF5E27" w:rsidRPr="00FF5E27" w:rsidRDefault="00FF5E27" w:rsidP="00461D8F">
            <w:pPr>
              <w:numPr>
                <w:ilvl w:val="0"/>
                <w:numId w:val="114"/>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 xml:space="preserve">Nivelul inițial al fibrozei hepatice este un predictor clinic important al progresiei ulterioare a fibrozei. Pacienții fără fibroză și cu inflamație hepatică minimă au un risc foarte scăzut de a evolua spre ciroză. Odată ce un individ a dezvoltat fibroză avansată (adică, fibroză în punte sau stadiul METAVIR F3), riscul de progresie spre ciroză este de aproximativ 10% pe an. </w:t>
            </w:r>
          </w:p>
          <w:p w:rsidR="00FF5E27" w:rsidRPr="00FF5E27" w:rsidRDefault="00FF5E27" w:rsidP="00461D8F">
            <w:pPr>
              <w:numPr>
                <w:ilvl w:val="0"/>
                <w:numId w:val="114"/>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Factorii gazdă care par a fi asociați negativ cu progresia fibrozei la pacienții individuali infectați cu VHC sunt vârsta mai înaintată, sexul masculin, rasa non-caucazieni, consumul de alcool și comorbiditățile cum ar fi obezitatea sau coinfecția virală. Impactul factorilor virali (cum ar fi genotipul sau diversitatea) este mai puțin evident</w:t>
            </w:r>
          </w:p>
          <w:p w:rsidR="00FF5E27" w:rsidRPr="00FF5E27" w:rsidRDefault="00FF5E27" w:rsidP="00461D8F">
            <w:pPr>
              <w:numPr>
                <w:ilvl w:val="0"/>
                <w:numId w:val="114"/>
              </w:numPr>
              <w:shd w:val="clear" w:color="auto" w:fill="FFFFFF"/>
              <w:spacing w:before="100" w:after="0" w:line="240" w:lineRule="auto"/>
              <w:ind w:left="357" w:hanging="357"/>
              <w:jc w:val="both"/>
              <w:rPr>
                <w:rFonts w:ascii="Times New Roman" w:eastAsia="Times New Roman" w:hAnsi="Times New Roman" w:cs="Times New Roman"/>
                <w:color w:val="232323"/>
                <w:sz w:val="24"/>
                <w:szCs w:val="24"/>
                <w:lang w:val="ro-RO"/>
              </w:rPr>
            </w:pPr>
            <w:r w:rsidRPr="00FF5E27">
              <w:rPr>
                <w:rFonts w:ascii="Times New Roman" w:eastAsia="Times New Roman" w:hAnsi="Times New Roman" w:cs="Times New Roman"/>
                <w:color w:val="232323"/>
                <w:sz w:val="24"/>
                <w:szCs w:val="24"/>
                <w:lang w:val="ro-RO"/>
              </w:rPr>
              <w:t>Deși au fost observate creșteri ale nivelurilor serice de aminotransferaze la pacienții cu infecție cronică cu VHC prin utilizarea medicamentelor imunosupresoare, este incert dacă acest lucru afectează progresia fibrozei. Cu toate acestea, anumite populații imunocompromise, cum ar fi pacienții coinfectați cu HIV, pacienții cu transplant de organe solide, pacienții cu neoplazii aflați în chimioterapie au rate accelerate de fibroză.</w:t>
            </w:r>
          </w:p>
        </w:tc>
      </w:tr>
    </w:tbl>
    <w:p w:rsidR="0039479B" w:rsidRDefault="0039479B">
      <w:pPr>
        <w:rPr>
          <w:rFonts w:ascii="Times New Roman" w:hAnsi="Times New Roman" w:cs="Times New Roman"/>
          <w:sz w:val="24"/>
          <w:szCs w:val="24"/>
          <w:lang w:val="ro-RO"/>
        </w:rPr>
      </w:pPr>
    </w:p>
    <w:p w:rsidR="00113A40" w:rsidRDefault="00113A40" w:rsidP="00854B49">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39479B" w:rsidRPr="007E2120" w:rsidRDefault="00113A40" w:rsidP="007E2120">
      <w:pPr>
        <w:pBdr>
          <w:top w:val="single" w:sz="24" w:space="0" w:color="FFFFFF"/>
          <w:left w:val="single" w:sz="24" w:space="0" w:color="FFFFFF"/>
          <w:bottom w:val="single" w:sz="24" w:space="0" w:color="FFFFFF"/>
          <w:right w:val="single" w:sz="24" w:space="0" w:color="FFFFFF"/>
        </w:pBdr>
        <w:shd w:val="clear" w:color="auto" w:fill="FFFFFF"/>
        <w:spacing w:before="100" w:after="0"/>
        <w:jc w:val="both"/>
        <w:outlineLvl w:val="0"/>
        <w:rPr>
          <w:rFonts w:ascii="Times New Roman" w:eastAsia="Times New Roman" w:hAnsi="Times New Roman" w:cs="Times New Roman"/>
          <w:b/>
          <w:caps/>
          <w:spacing w:val="15"/>
          <w:sz w:val="24"/>
          <w:lang w:val="ro-RO" w:eastAsia="x-none"/>
        </w:rPr>
      </w:pPr>
      <w:r>
        <w:rPr>
          <w:rFonts w:ascii="Times New Roman" w:eastAsia="Times New Roman" w:hAnsi="Times New Roman" w:cs="Times New Roman"/>
          <w:b/>
          <w:caps/>
          <w:spacing w:val="15"/>
          <w:sz w:val="24"/>
          <w:lang w:val="ro-RO" w:eastAsia="x-none"/>
        </w:rPr>
        <w:t xml:space="preserve">  </w:t>
      </w:r>
      <w:r w:rsidR="00854B49" w:rsidRPr="00854B49">
        <w:rPr>
          <w:rFonts w:ascii="Times New Roman" w:eastAsia="Times New Roman" w:hAnsi="Times New Roman" w:cs="Times New Roman"/>
          <w:b/>
          <w:caps/>
          <w:spacing w:val="15"/>
          <w:sz w:val="24"/>
          <w:lang w:val="ro-RO" w:eastAsia="x-none"/>
        </w:rPr>
        <w:t>D. RESURSE UMANE ŞI MATERIALE NECESARE PENTRU RESPECTAREA PREVEDERILOR PROTOCOLULUI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6711"/>
      </w:tblGrid>
      <w:tr w:rsidR="00854B49" w:rsidRPr="00854B49" w:rsidTr="007E2120">
        <w:tc>
          <w:tcPr>
            <w:tcW w:w="2376" w:type="dxa"/>
            <w:vMerge w:val="restart"/>
            <w:shd w:val="clear" w:color="auto" w:fill="auto"/>
          </w:tcPr>
          <w:p w:rsidR="007E2120" w:rsidRPr="00AA0369" w:rsidRDefault="00854B49" w:rsidP="007E2120">
            <w:pPr>
              <w:pBdr>
                <w:top w:val="single" w:sz="24" w:space="0" w:color="FFFFFF"/>
                <w:left w:val="single" w:sz="24" w:space="0" w:color="FFFFFF"/>
                <w:bottom w:val="single" w:sz="24" w:space="0" w:color="FFFFFF"/>
                <w:right w:val="single" w:sz="24" w:space="0" w:color="FFFFFF"/>
              </w:pBdr>
              <w:tabs>
                <w:tab w:val="right" w:leader="dot" w:pos="9016"/>
              </w:tabs>
              <w:spacing w:after="0" w:line="240" w:lineRule="auto"/>
              <w:outlineLvl w:val="1"/>
              <w:rPr>
                <w:rFonts w:ascii="Times New Roman" w:hAnsi="Times New Roman" w:cs="Times New Roman"/>
                <w:b/>
                <w:sz w:val="24"/>
                <w:szCs w:val="24"/>
                <w:lang w:val="en-US"/>
              </w:rPr>
            </w:pPr>
            <w:bookmarkStart w:id="134" w:name="_Toc177994822"/>
            <w:r w:rsidRPr="00854B49">
              <w:rPr>
                <w:rFonts w:ascii="Times New Roman" w:eastAsia="Calibri" w:hAnsi="Times New Roman" w:cs="Times New Roman"/>
                <w:b/>
                <w:spacing w:val="15"/>
                <w:sz w:val="24"/>
                <w:szCs w:val="24"/>
                <w:lang w:val="ro-RO" w:eastAsia="x-none"/>
              </w:rPr>
              <w:t>D.</w:t>
            </w:r>
            <w:r w:rsidR="007E2120">
              <w:rPr>
                <w:rFonts w:ascii="Times New Roman" w:eastAsia="Calibri" w:hAnsi="Times New Roman" w:cs="Times New Roman"/>
                <w:b/>
                <w:spacing w:val="15"/>
                <w:sz w:val="24"/>
                <w:szCs w:val="24"/>
                <w:lang w:val="ro-RO" w:eastAsia="x-none"/>
              </w:rPr>
              <w:t>1</w:t>
            </w:r>
            <w:r w:rsidRPr="00854B49">
              <w:rPr>
                <w:rFonts w:ascii="Times New Roman" w:eastAsia="Calibri" w:hAnsi="Times New Roman" w:cs="Times New Roman"/>
                <w:b/>
                <w:spacing w:val="15"/>
                <w:sz w:val="24"/>
                <w:szCs w:val="24"/>
                <w:lang w:val="ro-RO" w:eastAsia="x-none"/>
              </w:rPr>
              <w:t xml:space="preserve">. </w:t>
            </w:r>
            <w:bookmarkEnd w:id="134"/>
          </w:p>
          <w:p w:rsidR="00854B49" w:rsidRPr="00854B49" w:rsidRDefault="007E2120" w:rsidP="007E2120">
            <w:pPr>
              <w:pBdr>
                <w:top w:val="single" w:sz="24" w:space="0" w:color="FFFFFF"/>
                <w:left w:val="single" w:sz="24" w:space="0" w:color="FFFFFF"/>
                <w:bottom w:val="single" w:sz="24" w:space="0" w:color="FFFFFF"/>
                <w:right w:val="single" w:sz="24" w:space="0" w:color="FFFFFF"/>
              </w:pBdr>
              <w:tabs>
                <w:tab w:val="right" w:leader="dot" w:pos="9016"/>
              </w:tabs>
              <w:spacing w:after="0" w:line="240" w:lineRule="auto"/>
              <w:outlineLvl w:val="1"/>
              <w:rPr>
                <w:rFonts w:ascii="Times New Roman" w:eastAsia="Calibri" w:hAnsi="Times New Roman" w:cs="Times New Roman"/>
                <w:b/>
                <w:spacing w:val="15"/>
                <w:sz w:val="24"/>
                <w:szCs w:val="24"/>
                <w:lang w:val="en-US"/>
              </w:rPr>
            </w:pPr>
            <w:r>
              <w:rPr>
                <w:rFonts w:ascii="Times New Roman" w:hAnsi="Times New Roman" w:cs="Times New Roman"/>
                <w:b/>
                <w:sz w:val="24"/>
                <w:szCs w:val="24"/>
                <w:lang w:val="en-US"/>
              </w:rPr>
              <w:t>Secția c</w:t>
            </w:r>
            <w:r w:rsidR="00854B49" w:rsidRPr="00AA0369">
              <w:rPr>
                <w:rFonts w:ascii="Times New Roman" w:hAnsi="Times New Roman" w:cs="Times New Roman"/>
                <w:b/>
                <w:sz w:val="24"/>
                <w:szCs w:val="24"/>
                <w:lang w:val="en-US"/>
              </w:rPr>
              <w:t>onsultativă  SCR</w:t>
            </w:r>
            <w:r>
              <w:rPr>
                <w:rFonts w:ascii="Times New Roman" w:hAnsi="Times New Roman" w:cs="Times New Roman"/>
                <w:b/>
                <w:sz w:val="24"/>
                <w:szCs w:val="24"/>
                <w:lang w:val="en-US"/>
              </w:rPr>
              <w:t xml:space="preserve"> ,,Timofei Moșneaga”</w:t>
            </w:r>
          </w:p>
        </w:tc>
        <w:tc>
          <w:tcPr>
            <w:tcW w:w="6804" w:type="dxa"/>
            <w:shd w:val="clear" w:color="auto" w:fill="auto"/>
          </w:tcPr>
          <w:p w:rsidR="00854B49" w:rsidRPr="00854B49" w:rsidRDefault="00854B49" w:rsidP="00854B49">
            <w:pPr>
              <w:spacing w:before="100"/>
              <w:rPr>
                <w:rFonts w:ascii="Times New Roman" w:eastAsia="Calibri" w:hAnsi="Times New Roman" w:cs="Times New Roman"/>
                <w:b/>
                <w:sz w:val="24"/>
                <w:szCs w:val="24"/>
                <w:lang w:val="ro-RO" w:eastAsia="ru-RU"/>
              </w:rPr>
            </w:pPr>
            <w:r w:rsidRPr="00854B49">
              <w:rPr>
                <w:rFonts w:ascii="Times New Roman" w:eastAsia="Calibri" w:hAnsi="Times New Roman" w:cs="Times New Roman"/>
                <w:b/>
                <w:sz w:val="24"/>
                <w:szCs w:val="24"/>
                <w:lang w:val="ro-RO" w:eastAsia="ru-RU"/>
              </w:rPr>
              <w:t>Personal:</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medic infecţionist/gastroenterolog (hepatolog) sau medic internist instruit în tratament antiviral;</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medic specialist în diagnostic funcţional;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medic radiolog, medic-laborant clinic, medic-laborant biochimic, medic-laborant imunolog;</w:t>
            </w:r>
          </w:p>
          <w:p w:rsidR="00854B49" w:rsidRPr="00854B49" w:rsidRDefault="00854B49" w:rsidP="00854B49">
            <w:pPr>
              <w:spacing w:before="100"/>
              <w:rPr>
                <w:rFonts w:ascii="Times New Roman" w:eastAsia="Calibri" w:hAnsi="Times New Roman" w:cs="Times New Roman"/>
                <w:b/>
                <w:sz w:val="24"/>
                <w:szCs w:val="24"/>
                <w:lang w:val="ro-RO" w:eastAsia="ru-RU"/>
              </w:rPr>
            </w:pPr>
            <w:r w:rsidRPr="00854B49">
              <w:rPr>
                <w:rFonts w:ascii="Times New Roman" w:eastAsia="Calibri" w:hAnsi="Times New Roman" w:cs="Times New Roman"/>
                <w:sz w:val="24"/>
                <w:szCs w:val="24"/>
                <w:lang w:val="ro-RO" w:eastAsia="ru-RU"/>
              </w:rPr>
              <w:t>asistente medicale</w:t>
            </w:r>
          </w:p>
        </w:tc>
      </w:tr>
      <w:tr w:rsidR="00854B49" w:rsidRPr="00D645AA" w:rsidTr="007E2120">
        <w:tc>
          <w:tcPr>
            <w:tcW w:w="2376" w:type="dxa"/>
            <w:vMerge/>
            <w:shd w:val="clear" w:color="auto" w:fill="auto"/>
          </w:tcPr>
          <w:p w:rsidR="00854B49" w:rsidRPr="00854B49" w:rsidRDefault="00854B49" w:rsidP="00854B49">
            <w:pPr>
              <w:spacing w:before="100"/>
              <w:rPr>
                <w:rFonts w:ascii="Times New Roman" w:eastAsia="Calibri" w:hAnsi="Times New Roman" w:cs="Times New Roman"/>
                <w:sz w:val="24"/>
                <w:szCs w:val="24"/>
                <w:lang w:val="ro-RO"/>
              </w:rPr>
            </w:pPr>
          </w:p>
        </w:tc>
        <w:tc>
          <w:tcPr>
            <w:tcW w:w="6804" w:type="dxa"/>
            <w:shd w:val="clear" w:color="auto" w:fill="auto"/>
          </w:tcPr>
          <w:p w:rsidR="00854B49" w:rsidRPr="00854B49" w:rsidRDefault="00854B49" w:rsidP="00854B49">
            <w:pPr>
              <w:spacing w:before="100"/>
              <w:rPr>
                <w:rFonts w:ascii="Times New Roman" w:eastAsia="Calibri" w:hAnsi="Times New Roman" w:cs="Times New Roman"/>
                <w:b/>
                <w:sz w:val="24"/>
                <w:szCs w:val="24"/>
                <w:lang w:val="ro-RO" w:eastAsia="ru-RU"/>
              </w:rPr>
            </w:pPr>
            <w:r w:rsidRPr="00854B49">
              <w:rPr>
                <w:rFonts w:ascii="Times New Roman" w:eastAsia="Calibri" w:hAnsi="Times New Roman" w:cs="Times New Roman"/>
                <w:b/>
                <w:sz w:val="24"/>
                <w:szCs w:val="24"/>
                <w:lang w:val="ro-RO" w:eastAsia="ru-RU"/>
              </w:rPr>
              <w:t>Aparate, utilaj:</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tonometru, fonendoscop, electrocardiograf, centimetru, cântar;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lastRenderedPageBreak/>
              <w:t xml:space="preserve">aparat pentru USG abdominală;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endoscop, cu NBI;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cabinet radiologic;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laborator clinic şi laborator biochimic pentru: analiză generală a sângelui, trombocite, reticulocite, VSH, analiză generală a urinei, glucoză, protrombină, timp de protrombină (Quick), INR, bilirubină şi fracţiile ei, ALT, AST, GGTP, fosfatază alcalină, proteină totală şi fracţiile ei, albumina, colinesteraza, Na, K, Cl, Fe seric, transferină, feritină, uree, creatinină, fibrinogen, HDL-colesterol, LDL-colesterol, trigliceride, fosfolipide;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laborator imunologic pentru determinarea marcherilor virali ai hepatitelor B, C şi D, a marcherilor bolilor hepatice autoimune: ANA, AMA, SMA, anti-LKM etc.;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Acces pentru:</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efectuarea examinărilor: ARN-HCV determinată printr-o metodă moleculară sensibilă (limita inferioară de cuantificare</w:t>
            </w:r>
            <w:r w:rsidRPr="00854B49">
              <w:rPr>
                <w:rFonts w:ascii="Times New Roman" w:eastAsia="Calibri" w:hAnsi="Times New Roman" w:cs="Times New Roman"/>
                <w:b/>
                <w:bCs/>
                <w:sz w:val="24"/>
                <w:szCs w:val="24"/>
                <w:lang w:val="ro-RO" w:eastAsia="ru-RU"/>
              </w:rPr>
              <w:t xml:space="preserve"> </w:t>
            </w:r>
            <w:r w:rsidRPr="00854B49">
              <w:rPr>
                <w:rFonts w:ascii="Times New Roman" w:eastAsia="Calibri" w:hAnsi="Times New Roman" w:cs="Times New Roman"/>
                <w:sz w:val="24"/>
                <w:szCs w:val="24"/>
                <w:lang w:val="ro-RO" w:eastAsia="ru-RU"/>
              </w:rPr>
              <w:t>≤15 UI/ml), ADN-VHB, ARN-VHD – prin PCR, în regim real time, cu limite de detecție sub 15 UI/ml;</w:t>
            </w:r>
          </w:p>
          <w:p w:rsidR="00854B49" w:rsidRPr="00854B49" w:rsidRDefault="00854B49" w:rsidP="00854B49">
            <w:pPr>
              <w:spacing w:before="100"/>
              <w:rPr>
                <w:rFonts w:ascii="Times New Roman" w:eastAsia="Calibri" w:hAnsi="Times New Roman" w:cs="Times New Roman"/>
                <w:b/>
                <w:sz w:val="24"/>
                <w:szCs w:val="24"/>
                <w:lang w:val="ro-RO" w:eastAsia="ru-RU"/>
              </w:rPr>
            </w:pPr>
            <w:r w:rsidRPr="00854B49">
              <w:rPr>
                <w:rFonts w:ascii="Times New Roman" w:eastAsia="Calibri" w:hAnsi="Times New Roman" w:cs="Times New Roman"/>
                <w:sz w:val="24"/>
                <w:szCs w:val="24"/>
                <w:lang w:val="ro-RO" w:eastAsia="ru-RU"/>
              </w:rPr>
              <w:t>efectuarea examinărilor: USG-Doppler, TC, RMN;</w:t>
            </w:r>
          </w:p>
        </w:tc>
      </w:tr>
      <w:tr w:rsidR="00854B49" w:rsidRPr="00D645AA" w:rsidTr="007E2120">
        <w:tc>
          <w:tcPr>
            <w:tcW w:w="2376" w:type="dxa"/>
            <w:vMerge/>
            <w:shd w:val="clear" w:color="auto" w:fill="auto"/>
          </w:tcPr>
          <w:p w:rsidR="00854B49" w:rsidRPr="00854B49" w:rsidRDefault="00854B49" w:rsidP="00854B49">
            <w:pPr>
              <w:spacing w:before="100"/>
              <w:rPr>
                <w:rFonts w:ascii="Times New Roman" w:eastAsia="Calibri" w:hAnsi="Times New Roman" w:cs="Times New Roman"/>
                <w:sz w:val="24"/>
                <w:szCs w:val="24"/>
                <w:lang w:val="ro-RO"/>
              </w:rPr>
            </w:pPr>
          </w:p>
        </w:tc>
        <w:tc>
          <w:tcPr>
            <w:tcW w:w="6804" w:type="dxa"/>
            <w:shd w:val="clear" w:color="auto" w:fill="auto"/>
          </w:tcPr>
          <w:p w:rsidR="00854B49" w:rsidRPr="00854B49" w:rsidRDefault="00854B49" w:rsidP="00192733">
            <w:pPr>
              <w:spacing w:before="100"/>
              <w:rPr>
                <w:rFonts w:ascii="Times New Roman" w:eastAsia="Calibri" w:hAnsi="Times New Roman" w:cs="Times New Roman"/>
                <w:b/>
                <w:sz w:val="24"/>
                <w:szCs w:val="24"/>
                <w:lang w:val="ro-RO" w:eastAsia="ru-RU"/>
              </w:rPr>
            </w:pPr>
          </w:p>
        </w:tc>
      </w:tr>
      <w:tr w:rsidR="00854B49" w:rsidRPr="00D645AA" w:rsidTr="007E2120">
        <w:tc>
          <w:tcPr>
            <w:tcW w:w="2376" w:type="dxa"/>
            <w:vMerge w:val="restart"/>
            <w:shd w:val="clear" w:color="auto" w:fill="auto"/>
          </w:tcPr>
          <w:p w:rsidR="00854B49" w:rsidRPr="00854B49" w:rsidRDefault="00854B49" w:rsidP="00C45CD0">
            <w:pPr>
              <w:pBdr>
                <w:top w:val="single" w:sz="24" w:space="0" w:color="FFFFFF"/>
                <w:left w:val="single" w:sz="24" w:space="0" w:color="FFFFFF"/>
                <w:bottom w:val="single" w:sz="24" w:space="0" w:color="FFFFFF"/>
                <w:right w:val="single" w:sz="24" w:space="0" w:color="FFFFFF"/>
              </w:pBdr>
              <w:tabs>
                <w:tab w:val="right" w:leader="dot" w:pos="9016"/>
              </w:tabs>
              <w:spacing w:after="0" w:line="240" w:lineRule="auto"/>
              <w:outlineLvl w:val="1"/>
              <w:rPr>
                <w:rFonts w:ascii="Times New Roman" w:eastAsia="Calibri" w:hAnsi="Times New Roman" w:cs="Times New Roman"/>
                <w:b/>
                <w:spacing w:val="15"/>
                <w:sz w:val="24"/>
                <w:szCs w:val="24"/>
                <w:lang w:val="en-US" w:eastAsia="x-none"/>
              </w:rPr>
            </w:pPr>
            <w:bookmarkStart w:id="135" w:name="_Toc177994824"/>
            <w:r w:rsidRPr="00854B49">
              <w:rPr>
                <w:rFonts w:ascii="Times New Roman" w:eastAsia="Calibri" w:hAnsi="Times New Roman" w:cs="Times New Roman"/>
                <w:b/>
                <w:spacing w:val="15"/>
                <w:sz w:val="24"/>
                <w:szCs w:val="24"/>
                <w:lang w:val="ro-RO" w:eastAsia="x-none"/>
              </w:rPr>
              <w:t>D.</w:t>
            </w:r>
            <w:r w:rsidR="007E2120">
              <w:rPr>
                <w:rFonts w:ascii="Times New Roman" w:eastAsia="Calibri" w:hAnsi="Times New Roman" w:cs="Times New Roman"/>
                <w:b/>
                <w:spacing w:val="15"/>
                <w:sz w:val="24"/>
                <w:szCs w:val="24"/>
                <w:lang w:val="ro-RO" w:eastAsia="x-none"/>
              </w:rPr>
              <w:t>2</w:t>
            </w:r>
            <w:r w:rsidRPr="00854B49">
              <w:rPr>
                <w:rFonts w:ascii="Times New Roman" w:eastAsia="Calibri" w:hAnsi="Times New Roman" w:cs="Times New Roman"/>
                <w:b/>
                <w:spacing w:val="15"/>
                <w:sz w:val="24"/>
                <w:szCs w:val="24"/>
                <w:lang w:val="ro-RO" w:eastAsia="x-none"/>
              </w:rPr>
              <w:t>.</w:t>
            </w:r>
            <w:r w:rsidR="00AA0369" w:rsidRPr="00AA0369">
              <w:rPr>
                <w:rFonts w:ascii="Times New Roman" w:hAnsi="Times New Roman" w:cs="Times New Roman"/>
                <w:sz w:val="24"/>
                <w:szCs w:val="24"/>
                <w:lang w:val="en-US"/>
              </w:rPr>
              <w:t xml:space="preserve"> </w:t>
            </w:r>
            <w:r w:rsidR="0000173A">
              <w:rPr>
                <w:rFonts w:ascii="Times New Roman" w:hAnsi="Times New Roman" w:cs="Times New Roman"/>
                <w:b/>
                <w:sz w:val="24"/>
                <w:szCs w:val="24"/>
                <w:lang w:val="en-US"/>
              </w:rPr>
              <w:t>IMSP Spitalul Clinic Republican ,,Timofei Moșneaga”</w:t>
            </w:r>
            <w:r w:rsidR="00C669E4">
              <w:rPr>
                <w:rFonts w:ascii="Times New Roman" w:hAnsi="Times New Roman" w:cs="Times New Roman"/>
                <w:b/>
                <w:sz w:val="24"/>
                <w:szCs w:val="24"/>
                <w:lang w:val="en-US"/>
              </w:rPr>
              <w:t>: S</w:t>
            </w:r>
            <w:r w:rsidR="00AA0369" w:rsidRPr="00AA0369">
              <w:rPr>
                <w:rFonts w:ascii="Times New Roman" w:hAnsi="Times New Roman" w:cs="Times New Roman"/>
                <w:b/>
                <w:sz w:val="24"/>
                <w:szCs w:val="24"/>
                <w:lang w:val="en-US"/>
              </w:rPr>
              <w:t>ecția de hepatologie și gastro</w:t>
            </w:r>
            <w:r w:rsidR="00C669E4">
              <w:rPr>
                <w:rFonts w:ascii="Times New Roman" w:hAnsi="Times New Roman" w:cs="Times New Roman"/>
                <w:b/>
                <w:sz w:val="24"/>
                <w:szCs w:val="24"/>
                <w:lang w:val="en-US"/>
              </w:rPr>
              <w:t>enterologie</w:t>
            </w:r>
            <w:r w:rsidR="00AA0369" w:rsidRPr="00AA0369">
              <w:rPr>
                <w:rFonts w:ascii="Times New Roman" w:hAnsi="Times New Roman" w:cs="Times New Roman"/>
                <w:b/>
                <w:sz w:val="24"/>
                <w:szCs w:val="24"/>
                <w:lang w:val="en-US"/>
              </w:rPr>
              <w:t xml:space="preserve">logie </w:t>
            </w:r>
            <w:bookmarkEnd w:id="135"/>
          </w:p>
        </w:tc>
        <w:tc>
          <w:tcPr>
            <w:tcW w:w="6804" w:type="dxa"/>
            <w:shd w:val="clear" w:color="auto" w:fill="auto"/>
          </w:tcPr>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Personal:</w:t>
            </w:r>
          </w:p>
          <w:p w:rsidR="00854B49" w:rsidRPr="00854B49" w:rsidRDefault="00192733" w:rsidP="00854B49">
            <w:pPr>
              <w:spacing w:before="100" w:line="240" w:lineRule="auto"/>
              <w:rPr>
                <w:rFonts w:ascii="Times New Roman" w:eastAsia="Calibri" w:hAnsi="Times New Roman" w:cs="Times New Roman"/>
                <w:sz w:val="24"/>
                <w:szCs w:val="24"/>
                <w:lang w:val="ro-RO" w:eastAsia="ru-RU"/>
              </w:rPr>
            </w:pPr>
            <w:r>
              <w:rPr>
                <w:rFonts w:ascii="Times New Roman" w:eastAsia="Calibri" w:hAnsi="Times New Roman" w:cs="Times New Roman"/>
                <w:sz w:val="24"/>
                <w:szCs w:val="24"/>
                <w:lang w:val="ro-RO" w:eastAsia="ru-RU"/>
              </w:rPr>
              <w:t xml:space="preserve">Medic specialist </w:t>
            </w:r>
            <w:r w:rsidR="0000101F">
              <w:rPr>
                <w:rFonts w:ascii="Times New Roman" w:eastAsia="Calibri" w:hAnsi="Times New Roman" w:cs="Times New Roman"/>
                <w:sz w:val="24"/>
                <w:szCs w:val="24"/>
                <w:lang w:val="ro-RO" w:eastAsia="ru-RU"/>
              </w:rPr>
              <w:t xml:space="preserve">hepatolog, </w:t>
            </w:r>
            <w:r>
              <w:rPr>
                <w:rFonts w:ascii="Times New Roman" w:eastAsia="Calibri" w:hAnsi="Times New Roman" w:cs="Times New Roman"/>
                <w:sz w:val="24"/>
                <w:szCs w:val="24"/>
                <w:lang w:val="ro-RO" w:eastAsia="ru-RU"/>
              </w:rPr>
              <w:t xml:space="preserve">gastroenterolog </w:t>
            </w:r>
            <w:r w:rsidR="00854B49" w:rsidRPr="00854B49">
              <w:rPr>
                <w:rFonts w:ascii="Times New Roman" w:eastAsia="Calibri" w:hAnsi="Times New Roman" w:cs="Times New Roman"/>
                <w:sz w:val="24"/>
                <w:szCs w:val="24"/>
                <w:lang w:val="ro-RO" w:eastAsia="ru-RU"/>
              </w:rPr>
              <w:t xml:space="preserve">sau medic-internist </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medic-specialist în diagnostic funcţional</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medic-specialist în ultrasonografie şi endoscopie</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medic-imagist</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asistente medicale</w:t>
            </w:r>
          </w:p>
          <w:p w:rsidR="00854B49" w:rsidRPr="00854B49" w:rsidRDefault="00854B49" w:rsidP="00192733">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acces la consultaţii calificate:</w:t>
            </w:r>
            <w:r w:rsidR="00A235ED">
              <w:rPr>
                <w:rFonts w:ascii="Times New Roman" w:eastAsia="Calibri" w:hAnsi="Times New Roman" w:cs="Times New Roman"/>
                <w:sz w:val="24"/>
                <w:szCs w:val="24"/>
                <w:lang w:val="ro-RO" w:eastAsia="ru-RU"/>
              </w:rPr>
              <w:t xml:space="preserve"> </w:t>
            </w:r>
            <w:r w:rsidR="00192733">
              <w:rPr>
                <w:rFonts w:ascii="Times New Roman" w:eastAsia="Calibri" w:hAnsi="Times New Roman" w:cs="Times New Roman"/>
                <w:sz w:val="24"/>
                <w:szCs w:val="24"/>
                <w:lang w:val="ro-RO" w:eastAsia="ru-RU"/>
              </w:rPr>
              <w:t>medic în</w:t>
            </w:r>
            <w:r w:rsidRPr="00854B49">
              <w:rPr>
                <w:rFonts w:ascii="Times New Roman" w:eastAsia="Calibri" w:hAnsi="Times New Roman" w:cs="Times New Roman"/>
                <w:sz w:val="24"/>
                <w:szCs w:val="24"/>
                <w:lang w:val="ro-RO" w:eastAsia="ru-RU"/>
              </w:rPr>
              <w:t xml:space="preserve"> nefrologie, endocrinologie, chirurgie, neurologie, endocrinologie, cardiologie.</w:t>
            </w:r>
          </w:p>
        </w:tc>
      </w:tr>
      <w:tr w:rsidR="00854B49" w:rsidRPr="00854B49" w:rsidTr="007E2120">
        <w:tc>
          <w:tcPr>
            <w:tcW w:w="2376" w:type="dxa"/>
            <w:vMerge/>
            <w:shd w:val="clear" w:color="auto" w:fill="auto"/>
          </w:tcPr>
          <w:p w:rsidR="00854B49" w:rsidRPr="00854B49" w:rsidRDefault="00854B49" w:rsidP="00854B49">
            <w:pPr>
              <w:spacing w:before="100"/>
              <w:rPr>
                <w:rFonts w:ascii="Times New Roman" w:eastAsia="Calibri" w:hAnsi="Times New Roman" w:cs="Times New Roman"/>
                <w:sz w:val="24"/>
                <w:szCs w:val="24"/>
                <w:lang w:val="ro-RO" w:eastAsia="ru-RU"/>
              </w:rPr>
            </w:pPr>
          </w:p>
        </w:tc>
        <w:tc>
          <w:tcPr>
            <w:tcW w:w="6804" w:type="dxa"/>
            <w:shd w:val="clear" w:color="auto" w:fill="auto"/>
          </w:tcPr>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Aparate, utilaj: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Aparate sau acces pentru efectuarea examinărilor şi a procedurilor: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tonometru, fonendoscop, electrocardiograf, centimetru, cântar;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lastRenderedPageBreak/>
              <w:t xml:space="preserve">aparat pentru USG abdominală;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endoscop cu NBI;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cabinet radiologic;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laborator clinic şi biochimic pentru: analiză generală a sângelui, trombocite, reticulocite, analiză generală a urinei, glucoză, protrombină, timp de protrombină (Quick), INR, bilirubină şi fracţiile ei, ALT, AST, GGTP, fosfatază alcalină, proteină totală şi fracţiile ei, albumină, Na, K, Cl, Fe seric, transferină, uree, creatinină, fibrinogen, HDLC, LDLC, trigliceride, fosfolipide; </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endoscopie cu posibilitate de ligaturarea sau de sclerozare a varicelor esofagiene; </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laparoscopie; </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colangiografie endoscopică retrogradă; </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angiografie; </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puncţie-biopsie hepatică; </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tomografie spiralată; </w:t>
            </w:r>
          </w:p>
          <w:p w:rsidR="00854B49" w:rsidRPr="00854B49" w:rsidRDefault="00854B49" w:rsidP="00854B49">
            <w:pPr>
              <w:spacing w:before="100" w:line="240" w:lineRule="auto"/>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laborator de urgenţă;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laborator virusologic (determinarea cantitativă de ADN VHB, ARN-HCV, ARN VHD şi virusuri hepatotrope);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laborator bacteriologic. </w:t>
            </w:r>
          </w:p>
        </w:tc>
      </w:tr>
      <w:tr w:rsidR="00854B49" w:rsidRPr="00D645AA" w:rsidTr="007E2120">
        <w:tc>
          <w:tcPr>
            <w:tcW w:w="2376" w:type="dxa"/>
            <w:vMerge/>
            <w:shd w:val="clear" w:color="auto" w:fill="auto"/>
          </w:tcPr>
          <w:p w:rsidR="00854B49" w:rsidRPr="00854B49" w:rsidRDefault="00854B49" w:rsidP="00854B49">
            <w:pPr>
              <w:spacing w:before="100"/>
              <w:rPr>
                <w:rFonts w:ascii="Times New Roman" w:eastAsia="Calibri" w:hAnsi="Times New Roman" w:cs="Times New Roman"/>
                <w:sz w:val="24"/>
                <w:szCs w:val="24"/>
                <w:lang w:val="ro-RO"/>
              </w:rPr>
            </w:pPr>
          </w:p>
        </w:tc>
        <w:tc>
          <w:tcPr>
            <w:tcW w:w="6804" w:type="dxa"/>
            <w:shd w:val="clear" w:color="auto" w:fill="auto"/>
          </w:tcPr>
          <w:p w:rsidR="00854B49" w:rsidRPr="00854B49" w:rsidRDefault="00854B49" w:rsidP="00854B49">
            <w:pPr>
              <w:spacing w:before="100"/>
              <w:rPr>
                <w:rFonts w:ascii="Times New Roman" w:eastAsia="Calibri" w:hAnsi="Times New Roman" w:cs="Times New Roman"/>
                <w:b/>
                <w:bCs/>
                <w:sz w:val="24"/>
                <w:szCs w:val="24"/>
                <w:lang w:val="ro-RO" w:eastAsia="ru-RU"/>
              </w:rPr>
            </w:pPr>
            <w:r w:rsidRPr="00854B49">
              <w:rPr>
                <w:rFonts w:ascii="Times New Roman" w:eastAsia="Calibri" w:hAnsi="Times New Roman" w:cs="Times New Roman"/>
                <w:b/>
                <w:bCs/>
                <w:sz w:val="24"/>
                <w:szCs w:val="24"/>
                <w:lang w:val="ro-RO" w:eastAsia="ru-RU"/>
              </w:rPr>
              <w:t>Medicamente pentru tratamentul patogenetic și simptomatic</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Aminoacizi: </w:t>
            </w:r>
            <w:r w:rsidRPr="00854B49">
              <w:rPr>
                <w:rFonts w:ascii="Times New Roman" w:eastAsia="Times New Roman" w:hAnsi="Times New Roman" w:cs="Times New Roman"/>
                <w:sz w:val="24"/>
                <w:szCs w:val="24"/>
                <w:lang w:val="ro-RO" w:eastAsia="ru-RU"/>
              </w:rPr>
              <w:t>Arginini hydrochloridum</w:t>
            </w:r>
            <w:r w:rsidRPr="00854B49">
              <w:rPr>
                <w:rFonts w:ascii="Times New Roman" w:eastAsia="Calibri" w:hAnsi="Times New Roman" w:cs="Times New Roman"/>
                <w:sz w:val="24"/>
                <w:szCs w:val="24"/>
                <w:lang w:val="ro-RO" w:eastAsia="ru-RU"/>
              </w:rPr>
              <w:t xml:space="preserve">, aminoplasmal Hepa 10%, Hepasol-Neo,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Plasma nativă, Albuminum de 10 % și de 20 %,</w:t>
            </w:r>
          </w:p>
          <w:p w:rsidR="00854B49" w:rsidRPr="00854B49" w:rsidRDefault="00854B49" w:rsidP="00854B49">
            <w:pPr>
              <w:spacing w:before="100"/>
              <w:rPr>
                <w:rFonts w:ascii="Times New Roman" w:eastAsia="Calibri"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Soluții de electroliți (K, Na), soluție ), </w:t>
            </w:r>
            <w:r w:rsidRPr="00854B49">
              <w:rPr>
                <w:rFonts w:ascii="Times New Roman" w:eastAsia="Times New Roman" w:hAnsi="Times New Roman" w:cs="Times New Roman"/>
                <w:sz w:val="24"/>
                <w:szCs w:val="24"/>
                <w:lang w:val="ro-RO" w:eastAsia="ru-RU"/>
              </w:rPr>
              <w:t xml:space="preserve">Natrii chloridum + Kalii chloridum + Calcii chloridum; </w:t>
            </w:r>
            <w:r w:rsidRPr="00854B49">
              <w:rPr>
                <w:rFonts w:ascii="Times New Roman" w:eastAsia="Calibri" w:hAnsi="Times New Roman" w:cs="Times New Roman"/>
                <w:sz w:val="24"/>
                <w:szCs w:val="24"/>
                <w:lang w:val="ro-RO" w:eastAsia="ru-RU"/>
              </w:rPr>
              <w:t xml:space="preserve">, </w:t>
            </w:r>
            <w:r w:rsidRPr="00854B49">
              <w:rPr>
                <w:rFonts w:ascii="Times New Roman" w:eastAsia="Times New Roman" w:hAnsi="Times New Roman" w:cs="Times New Roman"/>
                <w:sz w:val="24"/>
                <w:szCs w:val="24"/>
                <w:lang w:val="ro-RO" w:eastAsia="ru-RU"/>
              </w:rPr>
              <w:t>Natrii lactatum + Natrii chloridum + Kalii chloridum + Calcii chloridum dihydricum</w:t>
            </w:r>
            <w:r w:rsidRPr="00854B49">
              <w:rPr>
                <w:rFonts w:ascii="Times New Roman" w:eastAsia="Calibri" w:hAnsi="Times New Roman" w:cs="Times New Roman"/>
                <w:sz w:val="24"/>
                <w:szCs w:val="24"/>
                <w:lang w:val="ro-RO" w:eastAsia="ru-RU"/>
              </w:rPr>
              <w:t>, etc.</w:t>
            </w:r>
          </w:p>
          <w:p w:rsidR="00854B49" w:rsidRPr="00854B49" w:rsidRDefault="00854B49" w:rsidP="00854B49">
            <w:pPr>
              <w:spacing w:before="100"/>
              <w:rPr>
                <w:rFonts w:ascii="Times New Roman" w:eastAsia="Times New Roman" w:hAnsi="Times New Roman" w:cs="Times New Roman"/>
                <w:sz w:val="24"/>
                <w:szCs w:val="24"/>
                <w:lang w:val="ro-RO" w:eastAsia="ru-RU"/>
              </w:rPr>
            </w:pPr>
            <w:r w:rsidRPr="00854B49">
              <w:rPr>
                <w:rFonts w:ascii="Times New Roman" w:eastAsia="Calibri" w:hAnsi="Times New Roman" w:cs="Times New Roman"/>
                <w:sz w:val="24"/>
                <w:szCs w:val="24"/>
                <w:lang w:val="ro-RO" w:eastAsia="ru-RU"/>
              </w:rPr>
              <w:t xml:space="preserve">Glucosum de 5% și de 10%, </w:t>
            </w:r>
          </w:p>
          <w:p w:rsidR="00854B49" w:rsidRPr="00854B49" w:rsidRDefault="00854B49" w:rsidP="00854B49">
            <w:pPr>
              <w:spacing w:before="100"/>
              <w:rPr>
                <w:rFonts w:ascii="Times New Roman" w:eastAsia="Times New Roman" w:hAnsi="Times New Roman" w:cs="Times New Roman"/>
                <w:sz w:val="24"/>
                <w:szCs w:val="24"/>
                <w:lang w:val="ro-RO" w:eastAsia="ru-RU"/>
              </w:rPr>
            </w:pPr>
            <w:r w:rsidRPr="00854B49">
              <w:rPr>
                <w:rFonts w:ascii="Times New Roman" w:eastAsia="Calibri" w:hAnsi="Times New Roman" w:cs="Times New Roman"/>
                <w:sz w:val="24"/>
                <w:szCs w:val="24"/>
                <w:lang w:val="ro-RO" w:eastAsia="ru-RU"/>
              </w:rPr>
              <w:t>Diuretice (</w:t>
            </w:r>
            <w:r w:rsidRPr="00854B49">
              <w:rPr>
                <w:rFonts w:ascii="Times New Roman" w:eastAsia="Times New Roman" w:hAnsi="Times New Roman" w:cs="Times New Roman"/>
                <w:sz w:val="24"/>
                <w:szCs w:val="24"/>
                <w:lang w:val="ro-RO" w:eastAsia="ru-RU"/>
              </w:rPr>
              <w:t>Furosemidum, Torasemidum, Spironolactonum)</w:t>
            </w:r>
          </w:p>
        </w:tc>
      </w:tr>
    </w:tbl>
    <w:p w:rsidR="0039479B" w:rsidRDefault="0039479B">
      <w:pPr>
        <w:rPr>
          <w:rFonts w:ascii="Times New Roman" w:hAnsi="Times New Roman" w:cs="Times New Roman"/>
          <w:sz w:val="24"/>
          <w:szCs w:val="24"/>
          <w:lang w:val="ro-RO"/>
        </w:rPr>
      </w:pPr>
    </w:p>
    <w:p w:rsidR="00A262F2" w:rsidRPr="00A262F2" w:rsidRDefault="00A262F2" w:rsidP="00A235ED">
      <w:pPr>
        <w:spacing w:before="100"/>
        <w:jc w:val="both"/>
        <w:rPr>
          <w:rFonts w:ascii="Times New Roman" w:eastAsia="Times New Roman" w:hAnsi="Times New Roman" w:cs="Times New Roman"/>
          <w:sz w:val="24"/>
          <w:szCs w:val="20"/>
          <w:lang w:val="ro-RO" w:eastAsia="ru-RU"/>
        </w:rPr>
      </w:pPr>
      <w:r w:rsidRPr="00A262F2">
        <w:rPr>
          <w:rFonts w:ascii="Times New Roman" w:eastAsia="Times New Roman" w:hAnsi="Times New Roman" w:cs="Times New Roman"/>
          <w:b/>
          <w:caps/>
          <w:spacing w:val="15"/>
          <w:sz w:val="24"/>
          <w:shd w:val="clear" w:color="auto" w:fill="FFFFFF"/>
          <w:lang w:val="ro-RO" w:eastAsia="x-none"/>
        </w:rPr>
        <w:lastRenderedPageBreak/>
        <w:t>E. INDICATORI DE MONITORIZARE A IMPLEMENTĂRII PCN</w:t>
      </w:r>
      <w:r w:rsidRPr="00A262F2">
        <w:rPr>
          <w:rFonts w:ascii="Times New Roman" w:eastAsia="Times New Roman" w:hAnsi="Times New Roman" w:cs="Times New Roman"/>
          <w:sz w:val="24"/>
          <w:szCs w:val="20"/>
          <w:lang w:val="ro-RO" w:eastAsia="ru-RU"/>
        </w:rPr>
        <w:t xml:space="preserve"> Hepatita virală C cronică la adult</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12"/>
        <w:gridCol w:w="2559"/>
        <w:gridCol w:w="2771"/>
        <w:gridCol w:w="1773"/>
      </w:tblGrid>
      <w:tr w:rsidR="00A262F2" w:rsidRPr="00D645AA" w:rsidTr="00850ECF">
        <w:trPr>
          <w:tblHeader/>
          <w:jc w:val="center"/>
        </w:trPr>
        <w:tc>
          <w:tcPr>
            <w:tcW w:w="556" w:type="dxa"/>
            <w:vMerge w:val="restart"/>
            <w:shd w:val="clear" w:color="auto" w:fill="BFBFBF"/>
          </w:tcPr>
          <w:p w:rsidR="00A262F2" w:rsidRPr="00A262F2" w:rsidRDefault="00A262F2" w:rsidP="00A262F2">
            <w:pPr>
              <w:spacing w:after="0" w:line="240" w:lineRule="auto"/>
              <w:jc w:val="both"/>
              <w:rPr>
                <w:rFonts w:ascii="Times New Roman" w:eastAsia="Times New Roman" w:hAnsi="Times New Roman" w:cs="Times New Roman"/>
                <w:b/>
                <w:sz w:val="24"/>
                <w:szCs w:val="24"/>
                <w:lang w:val="ro-RO" w:eastAsia="ru-RU"/>
              </w:rPr>
            </w:pPr>
            <w:r w:rsidRPr="00A262F2">
              <w:rPr>
                <w:rFonts w:ascii="Times New Roman" w:eastAsia="Times New Roman" w:hAnsi="Times New Roman" w:cs="Times New Roman"/>
                <w:b/>
                <w:sz w:val="24"/>
                <w:szCs w:val="24"/>
                <w:lang w:val="ro-RO" w:eastAsia="ru-RU"/>
              </w:rPr>
              <w:t>Nr.</w:t>
            </w:r>
          </w:p>
        </w:tc>
        <w:tc>
          <w:tcPr>
            <w:tcW w:w="1712" w:type="dxa"/>
            <w:vMerge w:val="restart"/>
            <w:shd w:val="clear" w:color="auto" w:fill="BFBFBF"/>
            <w:vAlign w:val="center"/>
          </w:tcPr>
          <w:p w:rsidR="00A262F2" w:rsidRPr="00A262F2" w:rsidRDefault="00A262F2" w:rsidP="00A262F2">
            <w:pPr>
              <w:spacing w:after="0" w:line="240" w:lineRule="auto"/>
              <w:jc w:val="both"/>
              <w:rPr>
                <w:rFonts w:ascii="Times New Roman" w:eastAsia="Times New Roman" w:hAnsi="Times New Roman" w:cs="Times New Roman"/>
                <w:b/>
                <w:sz w:val="24"/>
                <w:szCs w:val="24"/>
                <w:lang w:val="ro-RO" w:eastAsia="ru-RU"/>
              </w:rPr>
            </w:pPr>
            <w:r w:rsidRPr="00A262F2">
              <w:rPr>
                <w:rFonts w:ascii="Times New Roman" w:eastAsia="Times New Roman" w:hAnsi="Times New Roman" w:cs="Times New Roman"/>
                <w:b/>
                <w:sz w:val="24"/>
                <w:szCs w:val="24"/>
                <w:lang w:val="ro-RO" w:eastAsia="ru-RU"/>
              </w:rPr>
              <w:t>Scopul protocolului</w:t>
            </w:r>
          </w:p>
        </w:tc>
        <w:tc>
          <w:tcPr>
            <w:tcW w:w="2559" w:type="dxa"/>
            <w:vMerge w:val="restart"/>
            <w:shd w:val="clear" w:color="auto" w:fill="BFBFBF"/>
            <w:vAlign w:val="center"/>
          </w:tcPr>
          <w:p w:rsidR="00A262F2" w:rsidRPr="00A262F2" w:rsidRDefault="00A262F2" w:rsidP="00A262F2">
            <w:pPr>
              <w:spacing w:after="0" w:line="240" w:lineRule="auto"/>
              <w:jc w:val="both"/>
              <w:rPr>
                <w:rFonts w:ascii="Times New Roman" w:eastAsia="Times New Roman" w:hAnsi="Times New Roman" w:cs="Times New Roman"/>
                <w:b/>
                <w:sz w:val="24"/>
                <w:szCs w:val="24"/>
                <w:lang w:val="ro-RO" w:eastAsia="ru-RU"/>
              </w:rPr>
            </w:pPr>
            <w:r w:rsidRPr="00A262F2">
              <w:rPr>
                <w:rFonts w:ascii="Times New Roman" w:eastAsia="Times New Roman" w:hAnsi="Times New Roman" w:cs="Times New Roman"/>
                <w:b/>
                <w:sz w:val="24"/>
                <w:szCs w:val="24"/>
                <w:lang w:val="ro-RO" w:eastAsia="ru-RU"/>
              </w:rPr>
              <w:t>Măsurarea atingerii scopului</w:t>
            </w:r>
          </w:p>
        </w:tc>
        <w:tc>
          <w:tcPr>
            <w:tcW w:w="4544" w:type="dxa"/>
            <w:gridSpan w:val="2"/>
            <w:shd w:val="clear" w:color="auto" w:fill="BFBFBF"/>
            <w:vAlign w:val="center"/>
          </w:tcPr>
          <w:p w:rsidR="00A262F2" w:rsidRPr="00A262F2" w:rsidRDefault="00A262F2" w:rsidP="00A262F2">
            <w:pPr>
              <w:spacing w:after="0" w:line="240" w:lineRule="auto"/>
              <w:jc w:val="both"/>
              <w:rPr>
                <w:rFonts w:ascii="Times New Roman" w:eastAsia="Times New Roman" w:hAnsi="Times New Roman" w:cs="Times New Roman"/>
                <w:b/>
                <w:sz w:val="24"/>
                <w:szCs w:val="24"/>
                <w:lang w:val="ro-RO" w:eastAsia="ru-RU"/>
              </w:rPr>
            </w:pPr>
            <w:r w:rsidRPr="00A262F2">
              <w:rPr>
                <w:rFonts w:ascii="Times New Roman" w:eastAsia="Times New Roman" w:hAnsi="Times New Roman" w:cs="Times New Roman"/>
                <w:b/>
                <w:sz w:val="24"/>
                <w:szCs w:val="24"/>
                <w:lang w:val="ro-RO" w:eastAsia="ru-RU"/>
              </w:rPr>
              <w:t>Metoda de calcul al indicatorului</w:t>
            </w:r>
          </w:p>
        </w:tc>
      </w:tr>
      <w:tr w:rsidR="00A262F2" w:rsidRPr="00A262F2" w:rsidTr="00850ECF">
        <w:trPr>
          <w:tblHeader/>
          <w:jc w:val="center"/>
        </w:trPr>
        <w:tc>
          <w:tcPr>
            <w:tcW w:w="556"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1712" w:type="dxa"/>
            <w:vMerge/>
            <w:vAlign w:val="center"/>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2559" w:type="dxa"/>
            <w:vMerge/>
            <w:vAlign w:val="center"/>
          </w:tcPr>
          <w:p w:rsidR="00A262F2" w:rsidRPr="00A262F2" w:rsidRDefault="00A262F2" w:rsidP="00A262F2">
            <w:pPr>
              <w:tabs>
                <w:tab w:val="left" w:pos="210"/>
              </w:tabs>
              <w:spacing w:after="0" w:line="240" w:lineRule="auto"/>
              <w:jc w:val="both"/>
              <w:rPr>
                <w:rFonts w:ascii="Times New Roman" w:eastAsia="Times New Roman" w:hAnsi="Times New Roman" w:cs="Times New Roman"/>
                <w:sz w:val="24"/>
                <w:szCs w:val="24"/>
                <w:lang w:val="ro-RO" w:eastAsia="ru-RU"/>
              </w:rPr>
            </w:pPr>
          </w:p>
        </w:tc>
        <w:tc>
          <w:tcPr>
            <w:tcW w:w="2771" w:type="dxa"/>
            <w:vAlign w:val="center"/>
          </w:tcPr>
          <w:p w:rsidR="00A262F2" w:rsidRPr="00A262F2" w:rsidRDefault="00A262F2" w:rsidP="00A262F2">
            <w:pPr>
              <w:spacing w:after="0" w:line="240" w:lineRule="auto"/>
              <w:jc w:val="both"/>
              <w:rPr>
                <w:rFonts w:ascii="Times New Roman" w:eastAsia="Times New Roman" w:hAnsi="Times New Roman" w:cs="Times New Roman"/>
                <w:b/>
                <w:sz w:val="24"/>
                <w:szCs w:val="24"/>
                <w:lang w:val="ro-RO" w:eastAsia="ru-RU"/>
              </w:rPr>
            </w:pPr>
            <w:r w:rsidRPr="00A262F2">
              <w:rPr>
                <w:rFonts w:ascii="Times New Roman" w:eastAsia="Times New Roman" w:hAnsi="Times New Roman" w:cs="Times New Roman"/>
                <w:b/>
                <w:sz w:val="24"/>
                <w:szCs w:val="24"/>
                <w:lang w:val="ro-RO" w:eastAsia="ru-RU"/>
              </w:rPr>
              <w:t>Numărător</w:t>
            </w:r>
          </w:p>
        </w:tc>
        <w:tc>
          <w:tcPr>
            <w:tcW w:w="1773" w:type="dxa"/>
            <w:vAlign w:val="center"/>
          </w:tcPr>
          <w:p w:rsidR="00A262F2" w:rsidRPr="00A262F2" w:rsidRDefault="00A262F2" w:rsidP="00A262F2">
            <w:pPr>
              <w:spacing w:after="0" w:line="240" w:lineRule="auto"/>
              <w:jc w:val="both"/>
              <w:rPr>
                <w:rFonts w:ascii="Times New Roman" w:eastAsia="Times New Roman" w:hAnsi="Times New Roman" w:cs="Times New Roman"/>
                <w:b/>
                <w:sz w:val="24"/>
                <w:szCs w:val="24"/>
                <w:lang w:val="ro-RO" w:eastAsia="ru-RU"/>
              </w:rPr>
            </w:pPr>
            <w:r w:rsidRPr="00A262F2">
              <w:rPr>
                <w:rFonts w:ascii="Times New Roman" w:eastAsia="Times New Roman" w:hAnsi="Times New Roman" w:cs="Times New Roman"/>
                <w:b/>
                <w:sz w:val="24"/>
                <w:szCs w:val="24"/>
                <w:lang w:val="ro-RO" w:eastAsia="ru-RU"/>
              </w:rPr>
              <w:t>Numitor</w:t>
            </w:r>
          </w:p>
        </w:tc>
      </w:tr>
      <w:tr w:rsidR="00A262F2" w:rsidRPr="00D645AA" w:rsidTr="00850ECF">
        <w:trPr>
          <w:jc w:val="center"/>
        </w:trPr>
        <w:tc>
          <w:tcPr>
            <w:tcW w:w="556" w:type="dxa"/>
            <w:vMerge w:val="restart"/>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 xml:space="preserve">1. </w:t>
            </w:r>
          </w:p>
        </w:tc>
        <w:tc>
          <w:tcPr>
            <w:tcW w:w="1712" w:type="dxa"/>
            <w:vMerge w:val="restart"/>
          </w:tcPr>
          <w:p w:rsidR="00A262F2" w:rsidRPr="00A262F2" w:rsidRDefault="00A262F2" w:rsidP="00A235ED">
            <w:pPr>
              <w:spacing w:after="0" w:line="240" w:lineRule="auto"/>
              <w:ind w:right="25"/>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A îmbunătăţi depistarea pacienţilor cu boli hepatice determinate de infecţia cronică cu VHC printre persoanele din grupul de risc</w:t>
            </w:r>
          </w:p>
        </w:tc>
        <w:tc>
          <w:tcPr>
            <w:tcW w:w="2559" w:type="dxa"/>
          </w:tcPr>
          <w:p w:rsidR="00A262F2" w:rsidRPr="00A262F2" w:rsidRDefault="00A262F2" w:rsidP="00D8290E">
            <w:pPr>
              <w:numPr>
                <w:ilvl w:val="1"/>
                <w:numId w:val="125"/>
              </w:numPr>
              <w:tabs>
                <w:tab w:val="left" w:pos="210"/>
                <w:tab w:val="left" w:pos="353"/>
              </w:tabs>
              <w:spacing w:before="100" w:after="0" w:line="240" w:lineRule="auto"/>
              <w:ind w:left="-72" w:firstLine="0"/>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Ponderea persoanelor din grupul de risc supuse screeningului pentru depistarea infecţiei cu VHC pe parcursul unui an (în %)</w:t>
            </w:r>
          </w:p>
        </w:tc>
        <w:tc>
          <w:tcPr>
            <w:tcW w:w="2771" w:type="dxa"/>
          </w:tcPr>
          <w:p w:rsidR="00A262F2" w:rsidRPr="00A262F2" w:rsidRDefault="00A262F2" w:rsidP="00A235ED">
            <w:pPr>
              <w:tabs>
                <w:tab w:val="left" w:pos="210"/>
              </w:tabs>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persoanelor din grupul de risc supuse screeningului pentru depistarea infecţiei cu VHC pe parcursul ultimului an x 100</w:t>
            </w:r>
          </w:p>
        </w:tc>
        <w:tc>
          <w:tcPr>
            <w:tcW w:w="1773" w:type="dxa"/>
          </w:tcPr>
          <w:p w:rsidR="00A262F2" w:rsidRPr="00A262F2" w:rsidRDefault="00A262F2" w:rsidP="00A235ED">
            <w:pPr>
              <w:tabs>
                <w:tab w:val="left" w:pos="210"/>
              </w:tabs>
              <w:spacing w:after="0" w:line="240" w:lineRule="auto"/>
              <w:ind w:right="41"/>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total de persoane din grupul de risc care se află la supravegherea medicului de familie pe parcursul ultimului an</w:t>
            </w:r>
          </w:p>
        </w:tc>
      </w:tr>
      <w:tr w:rsidR="00A262F2" w:rsidRPr="00D645AA" w:rsidTr="00850ECF">
        <w:trPr>
          <w:jc w:val="center"/>
        </w:trPr>
        <w:tc>
          <w:tcPr>
            <w:tcW w:w="556"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1712"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2559" w:type="dxa"/>
          </w:tcPr>
          <w:p w:rsidR="00A262F2" w:rsidRPr="00A262F2" w:rsidRDefault="00A262F2" w:rsidP="00A262F2">
            <w:pPr>
              <w:tabs>
                <w:tab w:val="left" w:pos="210"/>
              </w:tabs>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1.2. Ponderea pacienţilor depistaţi cu infecţie cu VHC pe parcursul unui an (în %)</w:t>
            </w:r>
          </w:p>
        </w:tc>
        <w:tc>
          <w:tcPr>
            <w:tcW w:w="2771" w:type="dxa"/>
          </w:tcPr>
          <w:p w:rsidR="00A262F2" w:rsidRPr="00A262F2" w:rsidRDefault="00A262F2" w:rsidP="00A262F2">
            <w:pPr>
              <w:tabs>
                <w:tab w:val="left" w:pos="210"/>
              </w:tabs>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pacienţilor depistaţi cu infecţie cu VHC pe parcursul ultimului an x 100</w:t>
            </w:r>
          </w:p>
        </w:tc>
        <w:tc>
          <w:tcPr>
            <w:tcW w:w="1773" w:type="dxa"/>
          </w:tcPr>
          <w:p w:rsidR="00A262F2" w:rsidRPr="00A262F2" w:rsidRDefault="00A262F2" w:rsidP="00A235ED">
            <w:pPr>
              <w:tabs>
                <w:tab w:val="left" w:pos="210"/>
              </w:tabs>
              <w:spacing w:after="0" w:line="240" w:lineRule="auto"/>
              <w:ind w:right="41"/>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total de persoane din grupul de risc care se află la supravegherea medicului de familie pe parcursul ultimului an</w:t>
            </w:r>
          </w:p>
        </w:tc>
      </w:tr>
      <w:tr w:rsidR="00A262F2" w:rsidRPr="00D645AA" w:rsidTr="00850ECF">
        <w:trPr>
          <w:trHeight w:val="990"/>
          <w:jc w:val="center"/>
        </w:trPr>
        <w:tc>
          <w:tcPr>
            <w:tcW w:w="556" w:type="dxa"/>
            <w:vMerge w:val="restart"/>
          </w:tcPr>
          <w:p w:rsidR="00A262F2" w:rsidRPr="00A262F2" w:rsidRDefault="00850ECF" w:rsidP="00A262F2">
            <w:pPr>
              <w:spacing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2</w:t>
            </w:r>
            <w:r w:rsidR="00A262F2" w:rsidRPr="00A262F2">
              <w:rPr>
                <w:rFonts w:ascii="Times New Roman" w:eastAsia="Times New Roman" w:hAnsi="Times New Roman" w:cs="Times New Roman"/>
                <w:sz w:val="24"/>
                <w:szCs w:val="24"/>
                <w:lang w:val="ro-RO" w:eastAsia="ru-RU"/>
              </w:rPr>
              <w:t xml:space="preserve">. </w:t>
            </w:r>
          </w:p>
        </w:tc>
        <w:tc>
          <w:tcPr>
            <w:tcW w:w="1712" w:type="dxa"/>
            <w:vMerge w:val="restart"/>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A spori calitatea examinării şi tratamentului pacienţilor cu boli hepatice determinate de infecția cronică cu VHC</w:t>
            </w:r>
          </w:p>
        </w:tc>
        <w:tc>
          <w:tcPr>
            <w:tcW w:w="2559" w:type="dxa"/>
            <w:shd w:val="clear" w:color="auto" w:fill="auto"/>
          </w:tcPr>
          <w:p w:rsidR="00A262F2" w:rsidRPr="00A262F2" w:rsidRDefault="00850ECF" w:rsidP="00A235ED">
            <w:pPr>
              <w:tabs>
                <w:tab w:val="left" w:pos="210"/>
              </w:tabs>
              <w:spacing w:after="0" w:line="240" w:lineRule="auto"/>
              <w:ind w:right="33"/>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2</w:t>
            </w:r>
            <w:r w:rsidR="00A262F2" w:rsidRPr="00A262F2">
              <w:rPr>
                <w:rFonts w:ascii="Times New Roman" w:eastAsia="Times New Roman" w:hAnsi="Times New Roman" w:cs="Times New Roman"/>
                <w:sz w:val="24"/>
                <w:szCs w:val="24"/>
                <w:lang w:val="ro-RO" w:eastAsia="ru-RU"/>
              </w:rPr>
              <w:t>.1. Ponderea pacienţilor cu boli hepatice determinate de infecția cronică cu VHC examinaţi şi trataţi conform recomandărilor PCN ”Hepatita virală C cronică la adult” în condiţii de ambulator pe parcursul unui an (în %)</w:t>
            </w:r>
          </w:p>
        </w:tc>
        <w:tc>
          <w:tcPr>
            <w:tcW w:w="2771" w:type="dxa"/>
          </w:tcPr>
          <w:p w:rsidR="00A262F2" w:rsidRPr="00A262F2" w:rsidRDefault="00A262F2" w:rsidP="00A235ED">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pacienţilor cu boli hepatice determinate de infecția cronică cu VHC examinaţi şi trataţi conform recomandărilor PCN ”Hepatita virală C cronică la adult” în condiţii de ambulator pe parcursul ultimului an x 100</w:t>
            </w:r>
          </w:p>
        </w:tc>
        <w:tc>
          <w:tcPr>
            <w:tcW w:w="1773" w:type="dxa"/>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bCs/>
                <w:sz w:val="24"/>
                <w:szCs w:val="24"/>
                <w:lang w:val="ro-RO" w:eastAsia="ru-RU"/>
              </w:rPr>
              <w:t>Numărul total</w:t>
            </w:r>
            <w:r w:rsidRPr="00A262F2">
              <w:rPr>
                <w:rFonts w:ascii="Times New Roman" w:eastAsia="Times New Roman" w:hAnsi="Times New Roman" w:cs="Times New Roman"/>
                <w:b/>
                <w:bCs/>
                <w:sz w:val="24"/>
                <w:szCs w:val="24"/>
                <w:lang w:val="ro-RO" w:eastAsia="ru-RU"/>
              </w:rPr>
              <w:t xml:space="preserve"> </w:t>
            </w:r>
            <w:r w:rsidRPr="00A262F2">
              <w:rPr>
                <w:rFonts w:ascii="Times New Roman" w:eastAsia="Times New Roman" w:hAnsi="Times New Roman" w:cs="Times New Roman"/>
                <w:bCs/>
                <w:sz w:val="24"/>
                <w:szCs w:val="24"/>
                <w:lang w:val="ro-RO" w:eastAsia="ru-RU"/>
              </w:rPr>
              <w:t xml:space="preserve">de </w:t>
            </w:r>
            <w:r w:rsidRPr="00A262F2">
              <w:rPr>
                <w:rFonts w:ascii="Times New Roman" w:eastAsia="Times New Roman" w:hAnsi="Times New Roman" w:cs="Times New Roman"/>
                <w:sz w:val="24"/>
                <w:szCs w:val="24"/>
                <w:lang w:val="ro-RO" w:eastAsia="ru-RU"/>
              </w:rPr>
              <w:t>pacienţi cu boli hepatice determinate de infecția cronică cu VHC care se află la supravegherea medicului de familie pe parcursul ultimului an</w:t>
            </w:r>
          </w:p>
        </w:tc>
      </w:tr>
      <w:tr w:rsidR="00A262F2" w:rsidRPr="00D645AA" w:rsidTr="00850ECF">
        <w:trPr>
          <w:trHeight w:val="683"/>
          <w:jc w:val="center"/>
        </w:trPr>
        <w:tc>
          <w:tcPr>
            <w:tcW w:w="556"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1712"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2559" w:type="dxa"/>
            <w:shd w:val="clear" w:color="auto" w:fill="auto"/>
          </w:tcPr>
          <w:p w:rsidR="00A262F2" w:rsidRPr="00A262F2" w:rsidRDefault="00850ECF" w:rsidP="00A235ED">
            <w:pPr>
              <w:tabs>
                <w:tab w:val="left" w:pos="210"/>
              </w:tabs>
              <w:spacing w:after="0" w:line="240" w:lineRule="auto"/>
              <w:ind w:right="33"/>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2</w:t>
            </w:r>
            <w:r w:rsidR="00A262F2" w:rsidRPr="00A262F2">
              <w:rPr>
                <w:rFonts w:ascii="Times New Roman" w:eastAsia="Times New Roman" w:hAnsi="Times New Roman" w:cs="Times New Roman"/>
                <w:sz w:val="24"/>
                <w:szCs w:val="24"/>
                <w:lang w:val="ro-RO" w:eastAsia="ru-RU"/>
              </w:rPr>
              <w:t>.2. Ponderea pacienţilor cu boli hepatice determinate de infecția cronică cu VHC examinaţi şi trataţi conform recomandărilor PCN ”Hepatita virală C cronică la adult” în condiţii de staţionar pe parcursul unui an (în %)</w:t>
            </w:r>
          </w:p>
        </w:tc>
        <w:tc>
          <w:tcPr>
            <w:tcW w:w="2771" w:type="dxa"/>
          </w:tcPr>
          <w:p w:rsidR="00A262F2" w:rsidRPr="00A262F2" w:rsidRDefault="00A262F2" w:rsidP="00A235ED">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pacienţilor cu boli hepatice determinate de infecția cronică cu VHC examinaţi şi trataţi conform recomandărilor PCN ”Hepatita virală C cronică la adult” în condiţii de staţionar pe parcursul ultimului an x 100</w:t>
            </w:r>
          </w:p>
        </w:tc>
        <w:tc>
          <w:tcPr>
            <w:tcW w:w="1773" w:type="dxa"/>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bCs/>
                <w:sz w:val="24"/>
                <w:szCs w:val="24"/>
                <w:lang w:val="ro-RO" w:eastAsia="ru-RU"/>
              </w:rPr>
              <w:t>Numărul total</w:t>
            </w:r>
            <w:r w:rsidRPr="00A262F2">
              <w:rPr>
                <w:rFonts w:ascii="Times New Roman" w:eastAsia="Times New Roman" w:hAnsi="Times New Roman" w:cs="Times New Roman"/>
                <w:b/>
                <w:bCs/>
                <w:sz w:val="24"/>
                <w:szCs w:val="24"/>
                <w:lang w:val="ro-RO" w:eastAsia="ru-RU"/>
              </w:rPr>
              <w:t xml:space="preserve"> </w:t>
            </w:r>
            <w:r w:rsidRPr="00A262F2">
              <w:rPr>
                <w:rFonts w:ascii="Times New Roman" w:eastAsia="Times New Roman" w:hAnsi="Times New Roman" w:cs="Times New Roman"/>
                <w:bCs/>
                <w:sz w:val="24"/>
                <w:szCs w:val="24"/>
                <w:lang w:val="ro-RO" w:eastAsia="ru-RU"/>
              </w:rPr>
              <w:t xml:space="preserve">de </w:t>
            </w:r>
            <w:r w:rsidRPr="00A262F2">
              <w:rPr>
                <w:rFonts w:ascii="Times New Roman" w:eastAsia="Times New Roman" w:hAnsi="Times New Roman" w:cs="Times New Roman"/>
                <w:sz w:val="24"/>
                <w:szCs w:val="24"/>
                <w:lang w:val="ro-RO" w:eastAsia="ru-RU"/>
              </w:rPr>
              <w:t>pacienţi cu boli hepatice determinate de infecția cronică cu VHC care au fost trataţi în staţionar pe parcursul ultimului an</w:t>
            </w:r>
          </w:p>
        </w:tc>
      </w:tr>
      <w:tr w:rsidR="00A262F2" w:rsidRPr="00D645AA" w:rsidTr="00850ECF">
        <w:trPr>
          <w:trHeight w:val="683"/>
          <w:jc w:val="center"/>
        </w:trPr>
        <w:tc>
          <w:tcPr>
            <w:tcW w:w="556"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1712"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2559" w:type="dxa"/>
            <w:shd w:val="clear" w:color="auto" w:fill="auto"/>
          </w:tcPr>
          <w:p w:rsidR="00A262F2" w:rsidRPr="00A262F2" w:rsidRDefault="00850ECF" w:rsidP="00A262F2">
            <w:pPr>
              <w:tabs>
                <w:tab w:val="left" w:pos="210"/>
              </w:tabs>
              <w:spacing w:after="0" w:line="240" w:lineRule="auto"/>
              <w:ind w:right="-36"/>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2</w:t>
            </w:r>
            <w:r w:rsidR="00A262F2" w:rsidRPr="00A262F2">
              <w:rPr>
                <w:rFonts w:ascii="Times New Roman" w:eastAsia="Times New Roman" w:hAnsi="Times New Roman" w:cs="Times New Roman"/>
                <w:sz w:val="24"/>
                <w:szCs w:val="24"/>
                <w:lang w:val="ro-RO" w:eastAsia="ru-RU"/>
              </w:rPr>
              <w:t xml:space="preserve">.3. Ponderea pacienţilor cu boli </w:t>
            </w:r>
            <w:r w:rsidR="00A262F2" w:rsidRPr="00A262F2">
              <w:rPr>
                <w:rFonts w:ascii="Times New Roman" w:eastAsia="Times New Roman" w:hAnsi="Times New Roman" w:cs="Times New Roman"/>
                <w:sz w:val="24"/>
                <w:szCs w:val="24"/>
                <w:lang w:val="ro-RO" w:eastAsia="ru-RU"/>
              </w:rPr>
              <w:lastRenderedPageBreak/>
              <w:t>hepatice determinate de infecția cronică cu VHC trataţi cu preparate antivirale conform recomandărilor PCN ”Hepatita virală C cronică la adult” pe parcursul unui an (în %)</w:t>
            </w:r>
          </w:p>
        </w:tc>
        <w:tc>
          <w:tcPr>
            <w:tcW w:w="2771" w:type="dxa"/>
          </w:tcPr>
          <w:p w:rsidR="00A262F2" w:rsidRPr="00A262F2" w:rsidRDefault="00A262F2" w:rsidP="00A235ED">
            <w:pPr>
              <w:spacing w:after="0" w:line="240" w:lineRule="auto"/>
              <w:ind w:right="-31"/>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lastRenderedPageBreak/>
              <w:t xml:space="preserve">Numărul pacienţilor cu boli hepatice determinate </w:t>
            </w:r>
            <w:r w:rsidRPr="00A262F2">
              <w:rPr>
                <w:rFonts w:ascii="Times New Roman" w:eastAsia="Times New Roman" w:hAnsi="Times New Roman" w:cs="Times New Roman"/>
                <w:sz w:val="24"/>
                <w:szCs w:val="24"/>
                <w:lang w:val="ro-RO" w:eastAsia="ru-RU"/>
              </w:rPr>
              <w:lastRenderedPageBreak/>
              <w:t>de infecția cronică cu VHC trataţi cu preparate antivirale conform recomandărilor PCN ”Hepatita virală C cronică la adult” pe parcursul ultimului an x 100</w:t>
            </w:r>
          </w:p>
        </w:tc>
        <w:tc>
          <w:tcPr>
            <w:tcW w:w="1773" w:type="dxa"/>
          </w:tcPr>
          <w:p w:rsidR="00A262F2" w:rsidRPr="00A262F2" w:rsidRDefault="00A262F2" w:rsidP="00A262F2">
            <w:pPr>
              <w:spacing w:after="0" w:line="240" w:lineRule="auto"/>
              <w:jc w:val="both"/>
              <w:rPr>
                <w:rFonts w:ascii="Times New Roman" w:eastAsia="Times New Roman" w:hAnsi="Times New Roman" w:cs="Times New Roman"/>
                <w:bCs/>
                <w:sz w:val="24"/>
                <w:szCs w:val="24"/>
                <w:lang w:val="ro-RO" w:eastAsia="ru-RU"/>
              </w:rPr>
            </w:pPr>
            <w:r w:rsidRPr="00A262F2">
              <w:rPr>
                <w:rFonts w:ascii="Times New Roman" w:eastAsia="Times New Roman" w:hAnsi="Times New Roman" w:cs="Times New Roman"/>
                <w:bCs/>
                <w:sz w:val="24"/>
                <w:szCs w:val="24"/>
                <w:lang w:val="ro-RO" w:eastAsia="ru-RU"/>
              </w:rPr>
              <w:lastRenderedPageBreak/>
              <w:t>Numărul total</w:t>
            </w:r>
            <w:r w:rsidRPr="00A262F2">
              <w:rPr>
                <w:rFonts w:ascii="Times New Roman" w:eastAsia="Times New Roman" w:hAnsi="Times New Roman" w:cs="Times New Roman"/>
                <w:b/>
                <w:bCs/>
                <w:sz w:val="24"/>
                <w:szCs w:val="24"/>
                <w:lang w:val="ro-RO" w:eastAsia="ru-RU"/>
              </w:rPr>
              <w:t xml:space="preserve"> </w:t>
            </w:r>
            <w:r w:rsidRPr="00A262F2">
              <w:rPr>
                <w:rFonts w:ascii="Times New Roman" w:eastAsia="Times New Roman" w:hAnsi="Times New Roman" w:cs="Times New Roman"/>
                <w:bCs/>
                <w:sz w:val="24"/>
                <w:szCs w:val="24"/>
                <w:lang w:val="ro-RO" w:eastAsia="ru-RU"/>
              </w:rPr>
              <w:t xml:space="preserve">de </w:t>
            </w:r>
            <w:r w:rsidRPr="00A262F2">
              <w:rPr>
                <w:rFonts w:ascii="Times New Roman" w:eastAsia="Times New Roman" w:hAnsi="Times New Roman" w:cs="Times New Roman"/>
                <w:sz w:val="24"/>
                <w:szCs w:val="24"/>
                <w:lang w:val="ro-RO" w:eastAsia="ru-RU"/>
              </w:rPr>
              <w:t xml:space="preserve">pacienţi cu </w:t>
            </w:r>
            <w:r w:rsidRPr="00A262F2">
              <w:rPr>
                <w:rFonts w:ascii="Times New Roman" w:eastAsia="Times New Roman" w:hAnsi="Times New Roman" w:cs="Times New Roman"/>
                <w:sz w:val="24"/>
                <w:szCs w:val="24"/>
                <w:lang w:val="ro-RO" w:eastAsia="ru-RU"/>
              </w:rPr>
              <w:lastRenderedPageBreak/>
              <w:t>boli hepatice determinate de infecția cronică cu VHC care se află la supravegherea medicului de familie pe parcursul ultimului an</w:t>
            </w:r>
          </w:p>
        </w:tc>
      </w:tr>
      <w:tr w:rsidR="00A262F2" w:rsidRPr="00D645AA" w:rsidTr="00850ECF">
        <w:trPr>
          <w:trHeight w:val="683"/>
          <w:jc w:val="center"/>
        </w:trPr>
        <w:tc>
          <w:tcPr>
            <w:tcW w:w="556" w:type="dxa"/>
          </w:tcPr>
          <w:p w:rsidR="00A262F2" w:rsidRPr="00A262F2" w:rsidRDefault="00850ECF" w:rsidP="00A262F2">
            <w:pPr>
              <w:spacing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lastRenderedPageBreak/>
              <w:t>3</w:t>
            </w:r>
            <w:r w:rsidR="00A262F2" w:rsidRPr="00A262F2">
              <w:rPr>
                <w:rFonts w:ascii="Times New Roman" w:eastAsia="Times New Roman" w:hAnsi="Times New Roman" w:cs="Times New Roman"/>
                <w:sz w:val="24"/>
                <w:szCs w:val="24"/>
                <w:lang w:val="ro-RO" w:eastAsia="ru-RU"/>
              </w:rPr>
              <w:t>.</w:t>
            </w:r>
          </w:p>
        </w:tc>
        <w:tc>
          <w:tcPr>
            <w:tcW w:w="1712" w:type="dxa"/>
          </w:tcPr>
          <w:p w:rsidR="00A262F2" w:rsidRPr="00A262F2" w:rsidRDefault="00A262F2" w:rsidP="00A235ED">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A sprijini practica clinică privind evaluarea și managementul pacienţilor cu boli hepatice determinate de infecția cronică cu VHC</w:t>
            </w:r>
          </w:p>
        </w:tc>
        <w:tc>
          <w:tcPr>
            <w:tcW w:w="2559" w:type="dxa"/>
            <w:shd w:val="clear" w:color="auto" w:fill="auto"/>
          </w:tcPr>
          <w:p w:rsidR="00A262F2" w:rsidRPr="00A262F2" w:rsidRDefault="00A262F2" w:rsidP="00A262F2">
            <w:pPr>
              <w:tabs>
                <w:tab w:val="left" w:pos="210"/>
              </w:tabs>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3.3. Ponderea pacienţilor cu boli hepatice determinate de infecția cronică cu VHC care au administrat tratament antiviral și au obținut SVR l2 /SVR 24 (în %)</w:t>
            </w:r>
          </w:p>
        </w:tc>
        <w:tc>
          <w:tcPr>
            <w:tcW w:w="2771" w:type="dxa"/>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pacienţilor cu boli hepatice determinate de infecția cronică cu VHC trataţi cu medicamente antivirale și au obținut SVR12 / SVR24 pe parcursul ultimului an x 100</w:t>
            </w:r>
          </w:p>
        </w:tc>
        <w:tc>
          <w:tcPr>
            <w:tcW w:w="1773" w:type="dxa"/>
          </w:tcPr>
          <w:p w:rsidR="00A262F2" w:rsidRPr="00A262F2" w:rsidRDefault="00A262F2" w:rsidP="00A262F2">
            <w:pPr>
              <w:spacing w:after="0" w:line="240" w:lineRule="auto"/>
              <w:jc w:val="both"/>
              <w:rPr>
                <w:rFonts w:ascii="Times New Roman" w:eastAsia="Times New Roman" w:hAnsi="Times New Roman" w:cs="Times New Roman"/>
                <w:bCs/>
                <w:sz w:val="24"/>
                <w:szCs w:val="24"/>
                <w:lang w:val="ro-RO" w:eastAsia="ru-RU"/>
              </w:rPr>
            </w:pPr>
            <w:r w:rsidRPr="00A262F2">
              <w:rPr>
                <w:rFonts w:ascii="Times New Roman" w:eastAsia="Times New Roman" w:hAnsi="Times New Roman" w:cs="Times New Roman"/>
                <w:bCs/>
                <w:sz w:val="24"/>
                <w:szCs w:val="24"/>
                <w:lang w:val="ro-RO" w:eastAsia="ru-RU"/>
              </w:rPr>
              <w:t>Numărul total</w:t>
            </w:r>
            <w:r w:rsidRPr="00A262F2">
              <w:rPr>
                <w:rFonts w:ascii="Times New Roman" w:eastAsia="Times New Roman" w:hAnsi="Times New Roman" w:cs="Times New Roman"/>
                <w:b/>
                <w:bCs/>
                <w:sz w:val="24"/>
                <w:szCs w:val="24"/>
                <w:lang w:val="ro-RO" w:eastAsia="ru-RU"/>
              </w:rPr>
              <w:t xml:space="preserve"> </w:t>
            </w:r>
            <w:r w:rsidRPr="00A262F2">
              <w:rPr>
                <w:rFonts w:ascii="Times New Roman" w:eastAsia="Times New Roman" w:hAnsi="Times New Roman" w:cs="Times New Roman"/>
                <w:bCs/>
                <w:sz w:val="24"/>
                <w:szCs w:val="24"/>
                <w:lang w:val="ro-RO" w:eastAsia="ru-RU"/>
              </w:rPr>
              <w:t xml:space="preserve">de </w:t>
            </w:r>
            <w:r w:rsidRPr="00A262F2">
              <w:rPr>
                <w:rFonts w:ascii="Times New Roman" w:eastAsia="Times New Roman" w:hAnsi="Times New Roman" w:cs="Times New Roman"/>
                <w:sz w:val="24"/>
                <w:szCs w:val="24"/>
                <w:lang w:val="ro-RO" w:eastAsia="ru-RU"/>
              </w:rPr>
              <w:t>pacienţi cu boli hepatice determinate de infecția cronică cu VHC care se află la supravegherea medicului de familie și au primit tratament antiviral pe parcursul ultimului an</w:t>
            </w:r>
          </w:p>
        </w:tc>
      </w:tr>
      <w:tr w:rsidR="00A262F2" w:rsidRPr="00D645AA" w:rsidTr="00850ECF">
        <w:trPr>
          <w:jc w:val="center"/>
        </w:trPr>
        <w:tc>
          <w:tcPr>
            <w:tcW w:w="556" w:type="dxa"/>
            <w:vMerge w:val="restart"/>
          </w:tcPr>
          <w:p w:rsidR="00A262F2" w:rsidRPr="00A262F2" w:rsidRDefault="00850ECF" w:rsidP="00A262F2">
            <w:pPr>
              <w:spacing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4</w:t>
            </w:r>
            <w:r w:rsidR="00A262F2" w:rsidRPr="00A262F2">
              <w:rPr>
                <w:rFonts w:ascii="Times New Roman" w:eastAsia="Times New Roman" w:hAnsi="Times New Roman" w:cs="Times New Roman"/>
                <w:sz w:val="24"/>
                <w:szCs w:val="24"/>
                <w:lang w:val="ro-RO" w:eastAsia="ru-RU"/>
              </w:rPr>
              <w:t>.</w:t>
            </w:r>
          </w:p>
        </w:tc>
        <w:tc>
          <w:tcPr>
            <w:tcW w:w="1712" w:type="dxa"/>
            <w:vMerge w:val="restart"/>
          </w:tcPr>
          <w:p w:rsidR="00A262F2" w:rsidRPr="00A262F2" w:rsidRDefault="00A262F2" w:rsidP="00A235ED">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 xml:space="preserve">A reduce ponderea complicaţiile la pacienţii cu boli hepatice determinate de infecția cronică cu VHC </w:t>
            </w:r>
          </w:p>
        </w:tc>
        <w:tc>
          <w:tcPr>
            <w:tcW w:w="2559" w:type="dxa"/>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4.1. Ponderea pacienţilor cu boli hepatice determinate de infecția cronică cu VHC care pe parcursul unui an au dezvoltat ciroză şi care au dezvoltat carcinom hepatocelular (în %)</w:t>
            </w:r>
          </w:p>
        </w:tc>
        <w:tc>
          <w:tcPr>
            <w:tcW w:w="2771" w:type="dxa"/>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pacienţilor cu boli hepatice determinate de infecția cronică cu VHC care au dezvoltat ciroză şi care au dezvoltat carcinom hepatocelular pe parcursul ultimului an x 100</w:t>
            </w:r>
          </w:p>
        </w:tc>
        <w:tc>
          <w:tcPr>
            <w:tcW w:w="1773" w:type="dxa"/>
          </w:tcPr>
          <w:p w:rsidR="00A262F2" w:rsidRPr="00A262F2" w:rsidRDefault="00A262F2" w:rsidP="00A262F2">
            <w:pPr>
              <w:spacing w:after="0" w:line="240" w:lineRule="auto"/>
              <w:jc w:val="both"/>
              <w:rPr>
                <w:rFonts w:ascii="Times New Roman" w:eastAsia="Times New Roman" w:hAnsi="Times New Roman" w:cs="Times New Roman"/>
                <w:bCs/>
                <w:sz w:val="24"/>
                <w:szCs w:val="24"/>
                <w:lang w:val="ro-RO" w:eastAsia="ru-RU"/>
              </w:rPr>
            </w:pPr>
            <w:r w:rsidRPr="00A262F2">
              <w:rPr>
                <w:rFonts w:ascii="Times New Roman" w:eastAsia="Times New Roman" w:hAnsi="Times New Roman" w:cs="Times New Roman"/>
                <w:bCs/>
                <w:sz w:val="24"/>
                <w:szCs w:val="24"/>
                <w:lang w:val="ro-RO" w:eastAsia="ru-RU"/>
              </w:rPr>
              <w:t>Numărul total</w:t>
            </w:r>
            <w:r w:rsidRPr="00A262F2">
              <w:rPr>
                <w:rFonts w:ascii="Times New Roman" w:eastAsia="Times New Roman" w:hAnsi="Times New Roman" w:cs="Times New Roman"/>
                <w:b/>
                <w:bCs/>
                <w:sz w:val="24"/>
                <w:szCs w:val="24"/>
                <w:lang w:val="ro-RO" w:eastAsia="ru-RU"/>
              </w:rPr>
              <w:t xml:space="preserve"> </w:t>
            </w:r>
            <w:r w:rsidRPr="00A262F2">
              <w:rPr>
                <w:rFonts w:ascii="Times New Roman" w:eastAsia="Times New Roman" w:hAnsi="Times New Roman" w:cs="Times New Roman"/>
                <w:bCs/>
                <w:sz w:val="24"/>
                <w:szCs w:val="24"/>
                <w:lang w:val="ro-RO" w:eastAsia="ru-RU"/>
              </w:rPr>
              <w:t xml:space="preserve">de </w:t>
            </w:r>
            <w:r w:rsidRPr="00A262F2">
              <w:rPr>
                <w:rFonts w:ascii="Times New Roman" w:eastAsia="Times New Roman" w:hAnsi="Times New Roman" w:cs="Times New Roman"/>
                <w:sz w:val="24"/>
                <w:szCs w:val="24"/>
                <w:lang w:val="ro-RO" w:eastAsia="ru-RU"/>
              </w:rPr>
              <w:t>pacienţi cu boli hepatice determinate de infecția cronică cu VHC care se află la supravegherea medicului de familie pe parcursul ultimului an</w:t>
            </w:r>
          </w:p>
        </w:tc>
      </w:tr>
      <w:tr w:rsidR="00A262F2" w:rsidRPr="00D645AA" w:rsidTr="00850ECF">
        <w:trPr>
          <w:jc w:val="center"/>
        </w:trPr>
        <w:tc>
          <w:tcPr>
            <w:tcW w:w="556"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1712" w:type="dxa"/>
            <w:vMerge/>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p>
        </w:tc>
        <w:tc>
          <w:tcPr>
            <w:tcW w:w="2559" w:type="dxa"/>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4.2. Rata mortalităţii prin boli hepatice determinate de infecția cronică cu VHC pe parcursul unui an</w:t>
            </w:r>
          </w:p>
        </w:tc>
        <w:tc>
          <w:tcPr>
            <w:tcW w:w="2771" w:type="dxa"/>
          </w:tcPr>
          <w:p w:rsidR="00A262F2" w:rsidRPr="00A262F2" w:rsidRDefault="00A262F2" w:rsidP="00A262F2">
            <w:pPr>
              <w:spacing w:after="0" w:line="240" w:lineRule="auto"/>
              <w:jc w:val="both"/>
              <w:rPr>
                <w:rFonts w:ascii="Times New Roman" w:eastAsia="Times New Roman" w:hAnsi="Times New Roman" w:cs="Times New Roman"/>
                <w:sz w:val="24"/>
                <w:szCs w:val="24"/>
                <w:lang w:val="ro-RO" w:eastAsia="ru-RU"/>
              </w:rPr>
            </w:pPr>
            <w:r w:rsidRPr="00A262F2">
              <w:rPr>
                <w:rFonts w:ascii="Times New Roman" w:eastAsia="Times New Roman" w:hAnsi="Times New Roman" w:cs="Times New Roman"/>
                <w:sz w:val="24"/>
                <w:szCs w:val="24"/>
                <w:lang w:val="ro-RO" w:eastAsia="ru-RU"/>
              </w:rPr>
              <w:t>Numărul de decese prin boli hepatice determinate de infecția cronică cu VHC pe parcursul ultimului an x 100</w:t>
            </w:r>
          </w:p>
        </w:tc>
        <w:tc>
          <w:tcPr>
            <w:tcW w:w="1773" w:type="dxa"/>
          </w:tcPr>
          <w:p w:rsidR="00A262F2" w:rsidRPr="00A262F2" w:rsidRDefault="00A262F2" w:rsidP="00850ECF">
            <w:pPr>
              <w:spacing w:after="0" w:line="240" w:lineRule="auto"/>
              <w:jc w:val="both"/>
              <w:rPr>
                <w:rFonts w:ascii="Times New Roman" w:eastAsia="Times New Roman" w:hAnsi="Times New Roman" w:cs="Times New Roman"/>
                <w:bCs/>
                <w:sz w:val="24"/>
                <w:szCs w:val="24"/>
                <w:lang w:val="ro-RO" w:eastAsia="ru-RU"/>
              </w:rPr>
            </w:pPr>
            <w:r w:rsidRPr="00A262F2">
              <w:rPr>
                <w:rFonts w:ascii="Times New Roman" w:eastAsia="Times New Roman" w:hAnsi="Times New Roman" w:cs="Times New Roman"/>
                <w:bCs/>
                <w:sz w:val="24"/>
                <w:szCs w:val="24"/>
                <w:lang w:val="ro-RO" w:eastAsia="ru-RU"/>
              </w:rPr>
              <w:t>Numărul total</w:t>
            </w:r>
            <w:r w:rsidRPr="00A262F2">
              <w:rPr>
                <w:rFonts w:ascii="Times New Roman" w:eastAsia="Times New Roman" w:hAnsi="Times New Roman" w:cs="Times New Roman"/>
                <w:b/>
                <w:bCs/>
                <w:sz w:val="24"/>
                <w:szCs w:val="24"/>
                <w:lang w:val="ro-RO" w:eastAsia="ru-RU"/>
              </w:rPr>
              <w:t xml:space="preserve"> </w:t>
            </w:r>
            <w:r w:rsidRPr="00A262F2">
              <w:rPr>
                <w:rFonts w:ascii="Times New Roman" w:eastAsia="Times New Roman" w:hAnsi="Times New Roman" w:cs="Times New Roman"/>
                <w:bCs/>
                <w:sz w:val="24"/>
                <w:szCs w:val="24"/>
                <w:lang w:val="ro-RO" w:eastAsia="ru-RU"/>
              </w:rPr>
              <w:t xml:space="preserve">de pacienţi </w:t>
            </w:r>
            <w:r w:rsidRPr="00A262F2">
              <w:rPr>
                <w:rFonts w:ascii="Times New Roman" w:eastAsia="Times New Roman" w:hAnsi="Times New Roman" w:cs="Times New Roman"/>
                <w:sz w:val="24"/>
                <w:szCs w:val="24"/>
                <w:lang w:val="ro-RO" w:eastAsia="ru-RU"/>
              </w:rPr>
              <w:t>cu boli hepatice determinate de infec</w:t>
            </w:r>
            <w:r w:rsidR="00850ECF">
              <w:rPr>
                <w:rFonts w:ascii="Times New Roman" w:eastAsia="Times New Roman" w:hAnsi="Times New Roman" w:cs="Times New Roman"/>
                <w:sz w:val="24"/>
                <w:szCs w:val="24"/>
                <w:lang w:val="ro-RO" w:eastAsia="ru-RU"/>
              </w:rPr>
              <w:t>ția cronică cu VHC care se află la supraveghere</w:t>
            </w:r>
            <w:r w:rsidRPr="00A262F2">
              <w:rPr>
                <w:rFonts w:ascii="Times New Roman" w:eastAsia="Times New Roman" w:hAnsi="Times New Roman" w:cs="Times New Roman"/>
                <w:sz w:val="24"/>
                <w:szCs w:val="24"/>
                <w:lang w:val="ro-RO" w:eastAsia="ru-RU"/>
              </w:rPr>
              <w:t xml:space="preserve"> ultimului an</w:t>
            </w:r>
          </w:p>
        </w:tc>
      </w:tr>
    </w:tbl>
    <w:p w:rsidR="00A262F2" w:rsidRPr="00A262F2" w:rsidRDefault="00A262F2">
      <w:pPr>
        <w:rPr>
          <w:rFonts w:ascii="Times New Roman" w:eastAsia="Times New Roman" w:hAnsi="Times New Roman" w:cs="Times New Roman"/>
          <w:b/>
          <w:sz w:val="24"/>
          <w:szCs w:val="20"/>
          <w:lang w:val="ro-RO" w:eastAsia="ru-RU"/>
        </w:rPr>
      </w:pPr>
    </w:p>
    <w:p w:rsidR="00A82822" w:rsidRDefault="00A82822" w:rsidP="001A14D9">
      <w:pPr>
        <w:tabs>
          <w:tab w:val="left" w:pos="7150"/>
        </w:tabs>
        <w:rPr>
          <w:rFonts w:ascii="Times New Roman" w:eastAsia="Times New Roman" w:hAnsi="Times New Roman" w:cs="Times New Roman"/>
          <w:b/>
          <w:sz w:val="24"/>
          <w:szCs w:val="20"/>
          <w:lang w:val="ro-RO" w:eastAsia="ru-RU"/>
        </w:rPr>
      </w:pPr>
    </w:p>
    <w:p w:rsidR="00A262F2" w:rsidRDefault="00A262F2">
      <w:pPr>
        <w:rPr>
          <w:rFonts w:ascii="Times New Roman" w:eastAsia="Times New Roman" w:hAnsi="Times New Roman" w:cs="Times New Roman"/>
          <w:b/>
          <w:sz w:val="24"/>
          <w:szCs w:val="20"/>
          <w:lang w:val="ro-RO" w:eastAsia="ru-RU"/>
        </w:rPr>
      </w:pPr>
      <w:r w:rsidRPr="00A262F2">
        <w:rPr>
          <w:rFonts w:ascii="Times New Roman" w:eastAsia="Times New Roman" w:hAnsi="Times New Roman" w:cs="Times New Roman"/>
          <w:b/>
          <w:sz w:val="24"/>
          <w:szCs w:val="20"/>
          <w:lang w:val="ro-RO" w:eastAsia="ru-RU"/>
        </w:rPr>
        <w:lastRenderedPageBreak/>
        <w:t>F.ASPECTELE MEDICO-ORGANIZAȚIONALE</w:t>
      </w:r>
    </w:p>
    <w:p w:rsidR="00314858" w:rsidRDefault="00A262F2" w:rsidP="00A82822">
      <w:pPr>
        <w:jc w:val="both"/>
        <w:rPr>
          <w:rFonts w:ascii="Times New Roman" w:hAnsi="Times New Roman" w:cs="Times New Roman"/>
          <w:sz w:val="24"/>
          <w:szCs w:val="24"/>
          <w:lang w:val="ro-RO"/>
        </w:rPr>
      </w:pPr>
      <w:r w:rsidRPr="00314858">
        <w:rPr>
          <w:rFonts w:ascii="Times New Roman" w:hAnsi="Times New Roman" w:cs="Times New Roman"/>
          <w:sz w:val="24"/>
          <w:szCs w:val="24"/>
          <w:lang w:val="ro-RO"/>
        </w:rPr>
        <w:t xml:space="preserve">Tratamentul pacienților cu </w:t>
      </w:r>
      <w:r w:rsidR="00314858" w:rsidRPr="00314858">
        <w:rPr>
          <w:rFonts w:ascii="Times New Roman" w:hAnsi="Times New Roman" w:cs="Times New Roman"/>
          <w:sz w:val="24"/>
          <w:szCs w:val="24"/>
          <w:lang w:val="ro-RO"/>
        </w:rPr>
        <w:t>VHC  în cadrul IMSP SCR "Timofei Moș</w:t>
      </w:r>
      <w:r w:rsidRPr="00314858">
        <w:rPr>
          <w:rFonts w:ascii="Times New Roman" w:hAnsi="Times New Roman" w:cs="Times New Roman"/>
          <w:sz w:val="24"/>
          <w:szCs w:val="24"/>
          <w:lang w:val="ro-RO"/>
        </w:rPr>
        <w:t>ne</w:t>
      </w:r>
      <w:r w:rsidR="00314858" w:rsidRPr="00314858">
        <w:rPr>
          <w:rFonts w:ascii="Times New Roman" w:hAnsi="Times New Roman" w:cs="Times New Roman"/>
          <w:sz w:val="24"/>
          <w:szCs w:val="24"/>
          <w:lang w:val="ro-RO"/>
        </w:rPr>
        <w:t>aga” se efectuiază î</w:t>
      </w:r>
      <w:r w:rsidR="00314858">
        <w:rPr>
          <w:rFonts w:ascii="Times New Roman" w:hAnsi="Times New Roman" w:cs="Times New Roman"/>
          <w:sz w:val="24"/>
          <w:szCs w:val="24"/>
          <w:lang w:val="ro-RO"/>
        </w:rPr>
        <w:t>n cadrul secț</w:t>
      </w:r>
      <w:r w:rsidRPr="00314858">
        <w:rPr>
          <w:rFonts w:ascii="Times New Roman" w:hAnsi="Times New Roman" w:cs="Times New Roman"/>
          <w:sz w:val="24"/>
          <w:szCs w:val="24"/>
          <w:lang w:val="ro-RO"/>
        </w:rPr>
        <w:t>iilor Hepatologie/Gastroen</w:t>
      </w:r>
      <w:r w:rsidR="00314858">
        <w:rPr>
          <w:rFonts w:ascii="Times New Roman" w:hAnsi="Times New Roman" w:cs="Times New Roman"/>
          <w:sz w:val="24"/>
          <w:szCs w:val="24"/>
          <w:lang w:val="ro-RO"/>
        </w:rPr>
        <w:t>terologie, Secția Consultativă</w:t>
      </w:r>
      <w:r w:rsidRPr="00314858">
        <w:rPr>
          <w:rFonts w:ascii="Times New Roman" w:hAnsi="Times New Roman" w:cs="Times New Roman"/>
          <w:sz w:val="24"/>
          <w:szCs w:val="24"/>
          <w:lang w:val="ro-RO"/>
        </w:rPr>
        <w:t xml:space="preserve"> SCR</w:t>
      </w:r>
      <w:r w:rsidR="00A82822">
        <w:rPr>
          <w:rFonts w:ascii="Times New Roman" w:hAnsi="Times New Roman" w:cs="Times New Roman"/>
          <w:sz w:val="24"/>
          <w:szCs w:val="24"/>
          <w:lang w:val="ro-RO"/>
        </w:rPr>
        <w:t xml:space="preserve"> ,,Timofei Moșneaga”</w:t>
      </w:r>
      <w:r w:rsidRPr="00314858">
        <w:rPr>
          <w:rFonts w:ascii="Times New Roman" w:hAnsi="Times New Roman" w:cs="Times New Roman"/>
          <w:sz w:val="24"/>
          <w:szCs w:val="24"/>
          <w:lang w:val="ro-RO"/>
        </w:rPr>
        <w:t xml:space="preserve">. </w:t>
      </w:r>
    </w:p>
    <w:p w:rsidR="000D3E70" w:rsidRPr="000D3E70" w:rsidRDefault="000D3E70" w:rsidP="000D3E70">
      <w:pPr>
        <w:widowControl w:val="0"/>
        <w:tabs>
          <w:tab w:val="left" w:pos="1617"/>
        </w:tabs>
        <w:autoSpaceDE w:val="0"/>
        <w:autoSpaceDN w:val="0"/>
        <w:spacing w:before="87" w:after="9"/>
        <w:ind w:right="317"/>
        <w:jc w:val="both"/>
        <w:rPr>
          <w:rFonts w:ascii="Times New Roman" w:hAnsi="Times New Roman" w:cs="Times New Roman"/>
          <w:b/>
          <w:sz w:val="24"/>
          <w:szCs w:val="24"/>
          <w:lang w:val="ro-MD"/>
        </w:rPr>
      </w:pPr>
      <w:r w:rsidRPr="000D3E70">
        <w:rPr>
          <w:rFonts w:ascii="Times New Roman" w:hAnsi="Times New Roman" w:cs="Times New Roman"/>
          <w:b/>
          <w:sz w:val="24"/>
          <w:szCs w:val="24"/>
        </w:rPr>
        <w:t xml:space="preserve"> Internarea</w:t>
      </w:r>
      <w:r>
        <w:rPr>
          <w:rFonts w:ascii="Times New Roman" w:hAnsi="Times New Roman" w:cs="Times New Roman"/>
          <w:b/>
          <w:sz w:val="24"/>
          <w:szCs w:val="24"/>
          <w:lang w:val="ro-MD"/>
        </w:rPr>
        <w:t xml:space="preserve"> pacientului.</w:t>
      </w:r>
    </w:p>
    <w:p w:rsidR="00FA2963" w:rsidRPr="00EA4A00" w:rsidRDefault="000D3E70" w:rsidP="00EA4A00">
      <w:pPr>
        <w:pStyle w:val="afa"/>
        <w:tabs>
          <w:tab w:val="left" w:pos="1617"/>
        </w:tabs>
        <w:spacing w:before="87" w:after="9"/>
        <w:ind w:left="0" w:firstLine="851"/>
        <w:jc w:val="both"/>
      </w:pPr>
      <w:r>
        <w:t xml:space="preserve">Internarea pacienților cu diagnosticul de </w:t>
      </w:r>
      <w:r w:rsidR="00FA2963">
        <w:t>VHC</w:t>
      </w:r>
      <w:r>
        <w:t xml:space="preserve"> se realizează conform procedurii operaționale standard POS: AEP-01 ,,Privind internarea pacientului” și respectarea tuturor procedurilor de identificare a pacienților (POS SP-03), precum și informarea pacientului și obținerea acordului informat (POS DP-02). Important este înregistrarea în documentația medicala a datelor de contact (Nume, telefon) al rudelor, pacientului sau însoțitorilor în scop de informare la necesitate sau obținerea informațiilor indispensabile procesului curativ.</w:t>
      </w:r>
    </w:p>
    <w:p w:rsidR="00EA4A00" w:rsidRDefault="00EA4A00" w:rsidP="00FA2963">
      <w:pPr>
        <w:spacing w:after="0" w:line="240" w:lineRule="auto"/>
        <w:jc w:val="both"/>
        <w:rPr>
          <w:rFonts w:ascii="Times New Roman" w:hAnsi="Times New Roman" w:cs="Times New Roman"/>
          <w:b/>
          <w:sz w:val="24"/>
          <w:szCs w:val="24"/>
        </w:rPr>
      </w:pPr>
    </w:p>
    <w:p w:rsidR="000D3E70" w:rsidRPr="00FA2963" w:rsidRDefault="00FA2963" w:rsidP="00FA2963">
      <w:pPr>
        <w:spacing w:after="0" w:line="240" w:lineRule="auto"/>
        <w:jc w:val="both"/>
        <w:rPr>
          <w:rFonts w:ascii="Times New Roman" w:hAnsi="Times New Roman" w:cs="Times New Roman"/>
          <w:sz w:val="24"/>
          <w:szCs w:val="24"/>
          <w:lang w:val="ro-MD"/>
        </w:rPr>
      </w:pPr>
      <w:r w:rsidRPr="00FA2963">
        <w:rPr>
          <w:rFonts w:ascii="Times New Roman" w:hAnsi="Times New Roman" w:cs="Times New Roman"/>
          <w:b/>
          <w:sz w:val="24"/>
          <w:szCs w:val="24"/>
        </w:rPr>
        <w:t>Evaluare paraclinică (investigații)</w:t>
      </w:r>
      <w:r>
        <w:rPr>
          <w:rFonts w:ascii="Times New Roman" w:hAnsi="Times New Roman" w:cs="Times New Roman"/>
          <w:b/>
          <w:sz w:val="24"/>
          <w:szCs w:val="24"/>
          <w:lang w:val="ro-MD"/>
        </w:rPr>
        <w:t>.</w:t>
      </w:r>
    </w:p>
    <w:p w:rsidR="00314858" w:rsidRPr="00314858" w:rsidRDefault="00314858" w:rsidP="00A82822">
      <w:pPr>
        <w:pStyle w:val="afa"/>
        <w:numPr>
          <w:ilvl w:val="0"/>
          <w:numId w:val="128"/>
        </w:numPr>
        <w:ind w:left="851" w:hanging="284"/>
        <w:jc w:val="both"/>
        <w:rPr>
          <w:szCs w:val="24"/>
        </w:rPr>
      </w:pPr>
      <w:r>
        <w:rPr>
          <w:szCs w:val="24"/>
        </w:rPr>
        <w:t>Investigațiile specificat</w:t>
      </w:r>
      <w:r w:rsidR="00A82822">
        <w:rPr>
          <w:szCs w:val="24"/>
        </w:rPr>
        <w:t>e în protocol vor fi efectuate î</w:t>
      </w:r>
      <w:r>
        <w:rPr>
          <w:szCs w:val="24"/>
        </w:rPr>
        <w:t xml:space="preserve">n laboratorul planic (etajul 4) și de urgență al instituției </w:t>
      </w:r>
      <w:r>
        <w:t>(laboratorul secției de internare și laboratorul blocului chirurgical)</w:t>
      </w:r>
      <w:r w:rsidR="00A82822">
        <w:t>.</w:t>
      </w:r>
    </w:p>
    <w:p w:rsidR="00314858" w:rsidRPr="00314858" w:rsidRDefault="00314858" w:rsidP="00A82822">
      <w:pPr>
        <w:pStyle w:val="afa"/>
        <w:numPr>
          <w:ilvl w:val="0"/>
          <w:numId w:val="128"/>
        </w:numPr>
        <w:ind w:left="851" w:hanging="284"/>
        <w:jc w:val="both"/>
        <w:rPr>
          <w:szCs w:val="24"/>
        </w:rPr>
      </w:pPr>
      <w:r>
        <w:t>Examinările USG, ECG, ECHOCG,</w:t>
      </w:r>
      <w:r w:rsidR="00347564">
        <w:t xml:space="preserve"> </w:t>
      </w:r>
      <w:r>
        <w:t>EDS, Colonoscopie se vor efectua în cadrul secției</w:t>
      </w:r>
      <w:r w:rsidRPr="00314858">
        <w:t xml:space="preserve"> </w:t>
      </w:r>
      <w:r w:rsidR="00A82822">
        <w:t>D</w:t>
      </w:r>
      <w:r>
        <w:t xml:space="preserve">iagnostic funcțional </w:t>
      </w:r>
      <w:r w:rsidR="00A82822">
        <w:t xml:space="preserve">și Endoscopie </w:t>
      </w:r>
      <w:r>
        <w:t>cu programare în prealabil în cazul investigațiilor programate. În cazul investigațiilor urgente, medicul curant/de gardă telefoneazdă pe telefonul de serviciu.</w:t>
      </w:r>
    </w:p>
    <w:p w:rsidR="00314858" w:rsidRPr="00420DE3" w:rsidRDefault="00314858" w:rsidP="00A82822">
      <w:pPr>
        <w:pStyle w:val="afa"/>
        <w:numPr>
          <w:ilvl w:val="0"/>
          <w:numId w:val="128"/>
        </w:numPr>
        <w:ind w:left="851" w:hanging="284"/>
        <w:jc w:val="both"/>
        <w:rPr>
          <w:szCs w:val="24"/>
        </w:rPr>
      </w:pPr>
      <w:r>
        <w:t>Examinările imagistice se vor efectua la SRL EUROMED atît a celor programate cît și a celor urgente.</w:t>
      </w:r>
    </w:p>
    <w:p w:rsidR="00420DE3" w:rsidRPr="00420DE3" w:rsidRDefault="00420DE3" w:rsidP="00420DE3">
      <w:pPr>
        <w:pStyle w:val="afa"/>
        <w:ind w:left="851"/>
        <w:rPr>
          <w:szCs w:val="24"/>
        </w:rPr>
      </w:pPr>
    </w:p>
    <w:p w:rsidR="00420DE3" w:rsidRDefault="00420DE3" w:rsidP="000D3E70">
      <w:pPr>
        <w:pStyle w:val="afa"/>
        <w:ind w:left="0"/>
        <w:jc w:val="both"/>
      </w:pPr>
      <w:r>
        <w:rPr>
          <w:b/>
        </w:rPr>
        <w:t>Cerințele față de conținutul, perfectarea ș</w:t>
      </w:r>
      <w:r w:rsidRPr="00420DE3">
        <w:rPr>
          <w:b/>
        </w:rPr>
        <w:t>i transmiterea documenta</w:t>
      </w:r>
      <w:r>
        <w:rPr>
          <w:b/>
        </w:rPr>
        <w:t>ț</w:t>
      </w:r>
      <w:r w:rsidRPr="00420DE3">
        <w:rPr>
          <w:b/>
        </w:rPr>
        <w:t>iei medicale</w:t>
      </w:r>
      <w:r>
        <w:rPr>
          <w:b/>
        </w:rPr>
        <w:t xml:space="preserve"> pentru trimiterea pacientului ș</w:t>
      </w:r>
      <w:r w:rsidRPr="00420DE3">
        <w:rPr>
          <w:b/>
        </w:rPr>
        <w:t>i/sau probelor de laborator</w:t>
      </w:r>
      <w:r>
        <w:t>.</w:t>
      </w:r>
    </w:p>
    <w:p w:rsidR="00420DE3" w:rsidRDefault="00420DE3" w:rsidP="00A82822">
      <w:pPr>
        <w:pStyle w:val="afa"/>
        <w:numPr>
          <w:ilvl w:val="0"/>
          <w:numId w:val="129"/>
        </w:numPr>
        <w:jc w:val="both"/>
      </w:pPr>
      <w:r>
        <w:t>Pentru efectuarea investigațiilor în alte instituții (care necesită prezentarea pacientului) se eliberează de către medicul curant îndreptare care va include obligatoriu diagnosticul, argumentarea procedurii și</w:t>
      </w:r>
      <w:r w:rsidR="00FA2963">
        <w:t xml:space="preserve"> numărul poliței de asigurare (F</w:t>
      </w:r>
      <w:r>
        <w:t xml:space="preserve"> 027</w:t>
      </w:r>
      <w:r w:rsidR="002762CC">
        <w:t>/</w:t>
      </w:r>
      <w:r>
        <w:t>e).</w:t>
      </w:r>
    </w:p>
    <w:p w:rsidR="00420DE3" w:rsidRDefault="00420DE3" w:rsidP="00A82822">
      <w:pPr>
        <w:pStyle w:val="afa"/>
        <w:numPr>
          <w:ilvl w:val="0"/>
          <w:numId w:val="129"/>
        </w:numPr>
        <w:jc w:val="both"/>
      </w:pPr>
      <w:r>
        <w:t>Pentru efectuarea investigațiilor în alte instituții (care nu necesită prezentarea pacientului)</w:t>
      </w:r>
      <w:r w:rsidRPr="00420DE3">
        <w:t xml:space="preserve"> </w:t>
      </w:r>
      <w:r>
        <w:t>materialul biologic va fi insoțit de îndreptare și transport de către personalul IMSP SCR.</w:t>
      </w:r>
    </w:p>
    <w:p w:rsidR="00420DE3" w:rsidRDefault="00420DE3" w:rsidP="00A82822">
      <w:pPr>
        <w:pStyle w:val="afa"/>
        <w:numPr>
          <w:ilvl w:val="0"/>
          <w:numId w:val="129"/>
        </w:numPr>
        <w:jc w:val="both"/>
      </w:pPr>
      <w:r>
        <w:t>Pentru consultații în alte instituții (ex. IMSP DMDV, IMSP IFP), medicul curant argumentează necesitatea efectuării consultației în forma 003/e. Consultația preventiv se coordonează prin șeful secției sau vice director medical. Pacientul este insoțit de către personalul medical, care este responsabil de documentația medicală.</w:t>
      </w:r>
    </w:p>
    <w:p w:rsidR="00420DE3" w:rsidRDefault="00420DE3" w:rsidP="00420DE3">
      <w:pPr>
        <w:pStyle w:val="afa"/>
      </w:pPr>
    </w:p>
    <w:p w:rsidR="00420DE3" w:rsidRDefault="00420DE3" w:rsidP="000D3E70">
      <w:pPr>
        <w:pStyle w:val="afa"/>
        <w:ind w:left="0"/>
        <w:jc w:val="both"/>
        <w:rPr>
          <w:b/>
        </w:rPr>
      </w:pPr>
      <w:r w:rsidRPr="00420DE3">
        <w:rPr>
          <w:b/>
        </w:rPr>
        <w:t>Ordinea de asigurare a circulației documentației medicale inclusiv întoarcerea în instituție la locul de observare sau investigare.</w:t>
      </w:r>
    </w:p>
    <w:p w:rsidR="00420DE3" w:rsidRPr="00420DE3" w:rsidRDefault="00420DE3" w:rsidP="00155B32">
      <w:pPr>
        <w:pStyle w:val="afa"/>
        <w:numPr>
          <w:ilvl w:val="0"/>
          <w:numId w:val="130"/>
        </w:numPr>
        <w:jc w:val="both"/>
      </w:pPr>
      <w:r w:rsidRPr="00420DE3">
        <w:t>În contract cu instituțiile subcontractante este menționat modalitatea de expediere și recepționare a rezultatelor</w:t>
      </w:r>
    </w:p>
    <w:p w:rsidR="00420DE3" w:rsidRDefault="00420DE3" w:rsidP="00420DE3">
      <w:pPr>
        <w:pStyle w:val="afa"/>
        <w:ind w:left="0"/>
      </w:pPr>
    </w:p>
    <w:p w:rsidR="00420DE3" w:rsidRDefault="00FA1837" w:rsidP="000D3E70">
      <w:pPr>
        <w:pStyle w:val="afa"/>
        <w:ind w:left="0"/>
        <w:jc w:val="both"/>
        <w:rPr>
          <w:b/>
        </w:rPr>
      </w:pPr>
      <w:r w:rsidRPr="00FA1837">
        <w:rPr>
          <w:b/>
        </w:rPr>
        <w:lastRenderedPageBreak/>
        <w:t>Ordinea instruirii pacientului cu privire la scopul transf</w:t>
      </w:r>
      <w:r>
        <w:rPr>
          <w:b/>
        </w:rPr>
        <w:t>erului la alt nivel de asistență medicală</w:t>
      </w:r>
      <w:r w:rsidRPr="00FA1837">
        <w:rPr>
          <w:b/>
        </w:rPr>
        <w:t>.</w:t>
      </w:r>
    </w:p>
    <w:p w:rsidR="00FA1837" w:rsidRPr="00FA1837" w:rsidRDefault="00FA1837" w:rsidP="00155B32">
      <w:pPr>
        <w:pStyle w:val="afa"/>
        <w:numPr>
          <w:ilvl w:val="0"/>
          <w:numId w:val="130"/>
        </w:numPr>
        <w:jc w:val="both"/>
        <w:rPr>
          <w:b/>
        </w:rPr>
      </w:pPr>
      <w:r w:rsidRPr="00FA1837">
        <w:t>Pacientul este informat de către medicul curant despre necesitatea transferului la alt nivel de asistență medicală</w:t>
      </w:r>
      <w:r>
        <w:rPr>
          <w:b/>
        </w:rPr>
        <w:t xml:space="preserve"> </w:t>
      </w:r>
      <w:r>
        <w:t>(transfer intern sau extern). Transferul se efectuează cu acordul informat al pacientului.</w:t>
      </w:r>
    </w:p>
    <w:p w:rsidR="00FA1837" w:rsidRPr="00FA1837" w:rsidRDefault="00FA1837" w:rsidP="00FA1837">
      <w:pPr>
        <w:pStyle w:val="afa"/>
        <w:rPr>
          <w:b/>
        </w:rPr>
      </w:pPr>
    </w:p>
    <w:p w:rsidR="00FA1837" w:rsidRDefault="00FA1837" w:rsidP="000D3E70">
      <w:pPr>
        <w:pStyle w:val="afa"/>
        <w:ind w:left="0"/>
        <w:jc w:val="both"/>
        <w:rPr>
          <w:b/>
        </w:rPr>
      </w:pPr>
      <w:r w:rsidRPr="00FA1837">
        <w:rPr>
          <w:b/>
        </w:rPr>
        <w:t>Ordinea instruir</w:t>
      </w:r>
      <w:r>
        <w:rPr>
          <w:b/>
        </w:rPr>
        <w:t>ii pacientului cu privire la acțiunile necesare la întoarcere pentru evidența ulterioară (de exemplu după externarea din staț</w:t>
      </w:r>
      <w:r w:rsidRPr="00FA1837">
        <w:rPr>
          <w:b/>
        </w:rPr>
        <w:t>ionar) etc.</w:t>
      </w:r>
    </w:p>
    <w:p w:rsidR="003474F5" w:rsidRPr="003474F5" w:rsidRDefault="003474F5" w:rsidP="00FA2963">
      <w:pPr>
        <w:pStyle w:val="afa"/>
        <w:numPr>
          <w:ilvl w:val="0"/>
          <w:numId w:val="130"/>
        </w:numPr>
        <w:rPr>
          <w:szCs w:val="24"/>
        </w:rPr>
      </w:pPr>
      <w:r w:rsidRPr="003474F5">
        <w:t>Extrasul (forma 027</w:t>
      </w:r>
      <w:r w:rsidR="002762CC">
        <w:t>/</w:t>
      </w:r>
      <w:r w:rsidRPr="003474F5">
        <w:t>e) ogligatoriu va include recomandări pentru pacient.</w:t>
      </w:r>
    </w:p>
    <w:p w:rsidR="003474F5" w:rsidRPr="003474F5" w:rsidRDefault="003474F5" w:rsidP="003474F5">
      <w:pPr>
        <w:pStyle w:val="afa"/>
        <w:rPr>
          <w:szCs w:val="24"/>
        </w:rPr>
      </w:pPr>
    </w:p>
    <w:p w:rsidR="003474F5" w:rsidRDefault="003474F5" w:rsidP="000D3E70">
      <w:pPr>
        <w:pStyle w:val="afa"/>
        <w:ind w:left="0"/>
        <w:jc w:val="both"/>
        <w:rPr>
          <w:b/>
        </w:rPr>
      </w:pPr>
      <w:r w:rsidRPr="003474F5">
        <w:rPr>
          <w:b/>
        </w:rPr>
        <w:t>Proce</w:t>
      </w:r>
      <w:r>
        <w:rPr>
          <w:b/>
        </w:rPr>
        <w:t>dura de transfer a pacientului î</w:t>
      </w:r>
      <w:r w:rsidRPr="003474F5">
        <w:rPr>
          <w:b/>
        </w:rPr>
        <w:t xml:space="preserve">n caz de agravare a </w:t>
      </w:r>
      <w:r>
        <w:rPr>
          <w:b/>
        </w:rPr>
        <w:t>stă</w:t>
      </w:r>
      <w:r w:rsidRPr="003474F5">
        <w:rPr>
          <w:b/>
        </w:rPr>
        <w:t>rii generale:</w:t>
      </w:r>
    </w:p>
    <w:p w:rsidR="003474F5" w:rsidRDefault="003474F5" w:rsidP="00155B32">
      <w:pPr>
        <w:pStyle w:val="afa"/>
        <w:numPr>
          <w:ilvl w:val="1"/>
          <w:numId w:val="36"/>
        </w:numPr>
        <w:jc w:val="both"/>
      </w:pPr>
      <w:r>
        <w:t>Medicul curant, medicul de gardă la agravarea stării, apariția complica</w:t>
      </w:r>
      <w:r w:rsidR="000D3E70">
        <w:t xml:space="preserve">țiilor informează șeful secției </w:t>
      </w:r>
      <w:r>
        <w:t>(în timp de noapte apelează, direct specialistul după necesitate).</w:t>
      </w:r>
    </w:p>
    <w:p w:rsidR="003474F5" w:rsidRDefault="003474F5" w:rsidP="00155B32">
      <w:pPr>
        <w:pStyle w:val="afa"/>
        <w:numPr>
          <w:ilvl w:val="1"/>
          <w:numId w:val="36"/>
        </w:numPr>
        <w:jc w:val="both"/>
      </w:pPr>
      <w:r>
        <w:t>Șeful secției consultă pacientul în comun cu medicul curant sau medicul de gardă consultă  pacientul in comun cu specialistul solicitat (medic chirurg de gardă, medic reanimatolog de gardă).</w:t>
      </w:r>
    </w:p>
    <w:p w:rsidR="003474F5" w:rsidRDefault="003474F5" w:rsidP="00155B32">
      <w:pPr>
        <w:pStyle w:val="afa"/>
        <w:numPr>
          <w:ilvl w:val="1"/>
          <w:numId w:val="36"/>
        </w:numPr>
        <w:jc w:val="both"/>
      </w:pPr>
      <w:r>
        <w:t xml:space="preserve">În caz de transfer intern se ia decizia respectivă în consilium comun, se scrie epicriza de transfer care va include obligatoriu: diagnosticul, starea pacientului, date despre evoluția bolii, rezultatele investigațiilor, tratamentul administrat, concluzia consiliului cu argumentarea necesității transferului, ulterior se transferă pacientul în sistemul informațional. </w:t>
      </w:r>
    </w:p>
    <w:p w:rsidR="003474F5" w:rsidRDefault="003474F5" w:rsidP="00155B32">
      <w:pPr>
        <w:pStyle w:val="afa"/>
        <w:numPr>
          <w:ilvl w:val="1"/>
          <w:numId w:val="36"/>
        </w:numPr>
        <w:jc w:val="both"/>
      </w:pPr>
      <w:r>
        <w:t>În caz de necesitate de transfer în altă instituție republicană șeful secției anunță șeful de departament și vice directorul medical despre cazul respectiv, se convoacă consiliul medical în componența: șef departament, vice directorul medical, șeful secției, medicul curant, consultantul și la necesitate alți specialiști.</w:t>
      </w:r>
    </w:p>
    <w:p w:rsidR="003474F5" w:rsidRDefault="003474F5" w:rsidP="00FA2963">
      <w:pPr>
        <w:pStyle w:val="afa"/>
        <w:numPr>
          <w:ilvl w:val="1"/>
          <w:numId w:val="36"/>
        </w:numPr>
        <w:spacing w:before="0" w:after="120"/>
        <w:ind w:left="1077" w:hanging="357"/>
        <w:jc w:val="both"/>
      </w:pPr>
      <w:r>
        <w:t xml:space="preserve"> Medicul c</w:t>
      </w:r>
      <w:r w:rsidR="002762CC">
        <w:t>urant scrie extrasul (forma 027/</w:t>
      </w:r>
      <w:r>
        <w:t>e), care va include obligatoriu diagnosticul, starea pacientului, date despre evoluția bolii, sinteza evoluției, rezultatele investigațiilor de laborator și instrumentale, tratamentul administrat, concluzia consiliului cu argumentarea necesității transferului. Se cordoneaza cu șeful secției de internare privind modalitatea de transfer și asigurarea disponibilității transportului de serviciu.</w:t>
      </w:r>
    </w:p>
    <w:p w:rsidR="00FA2963" w:rsidRDefault="00FA2963" w:rsidP="00FA2963">
      <w:pPr>
        <w:pStyle w:val="afa"/>
        <w:spacing w:before="0" w:after="120"/>
        <w:ind w:left="1077"/>
        <w:jc w:val="both"/>
      </w:pPr>
    </w:p>
    <w:p w:rsidR="00FA2963" w:rsidRDefault="00FA2963" w:rsidP="00EA4A00">
      <w:pPr>
        <w:pStyle w:val="afa"/>
        <w:widowControl w:val="0"/>
        <w:tabs>
          <w:tab w:val="left" w:pos="1617"/>
        </w:tabs>
        <w:autoSpaceDE w:val="0"/>
        <w:autoSpaceDN w:val="0"/>
        <w:spacing w:before="87" w:after="9"/>
        <w:ind w:left="360" w:right="317" w:hanging="360"/>
        <w:contextualSpacing w:val="0"/>
        <w:rPr>
          <w:b/>
        </w:rPr>
      </w:pPr>
      <w:r w:rsidRPr="00583A17">
        <w:rPr>
          <w:b/>
        </w:rPr>
        <w:t>Externarea</w:t>
      </w:r>
      <w:r>
        <w:rPr>
          <w:b/>
        </w:rPr>
        <w:t xml:space="preserve"> pacientului.</w:t>
      </w:r>
    </w:p>
    <w:p w:rsidR="00113A40" w:rsidRDefault="00FA2963" w:rsidP="00EA4A00">
      <w:pPr>
        <w:pStyle w:val="afa"/>
        <w:tabs>
          <w:tab w:val="left" w:pos="851"/>
          <w:tab w:val="left" w:pos="1617"/>
        </w:tabs>
        <w:spacing w:before="87" w:after="9"/>
        <w:ind w:left="0" w:firstLine="709"/>
        <w:jc w:val="both"/>
      </w:pPr>
      <w:r>
        <w:t>Externarea pacientului din staționar se realizează conform procedurii operaționale standard POS: AEP-02 ,,Privind externarea bolnavului de staționar” și informația necesară privitor la boală, regim, tratament, necesitatea evidenței și vizetelor repetate – este prezentată pacientului în prezența rudelor sau însoțitor. Este absolut necesar de explicat și verificat modalitatea de transportare a pacientului din staționar la o altă instituție sau la domiciliu. În caz de transfer al pacientului din staționar la o insituție medicală inferioară (Spital Raional, Secții de îngrijiri paliative, etc) se fixează în extras tipul și necesitatea transferului, precum și datele de contact ale persoanei responsabile de acordul la transfer din instituția respectivă.</w:t>
      </w:r>
    </w:p>
    <w:p w:rsidR="00FA2963" w:rsidRPr="00FA2963" w:rsidRDefault="00FA2963" w:rsidP="00FA2963">
      <w:pPr>
        <w:pStyle w:val="afa"/>
        <w:tabs>
          <w:tab w:val="left" w:pos="709"/>
          <w:tab w:val="left" w:pos="851"/>
          <w:tab w:val="left" w:pos="1617"/>
          <w:tab w:val="left" w:pos="8755"/>
        </w:tabs>
        <w:spacing w:before="87" w:after="9"/>
        <w:ind w:left="709" w:right="317"/>
        <w:jc w:val="both"/>
      </w:pPr>
    </w:p>
    <w:p w:rsidR="0036613D" w:rsidRPr="003474F5" w:rsidRDefault="003474F5" w:rsidP="003474F5">
      <w:pPr>
        <w:rPr>
          <w:rFonts w:ascii="Times New Roman" w:hAnsi="Times New Roman" w:cs="Times New Roman"/>
          <w:b/>
          <w:sz w:val="24"/>
          <w:szCs w:val="24"/>
          <w:lang w:val="en-US"/>
        </w:rPr>
      </w:pPr>
      <w:r w:rsidRPr="003474F5">
        <w:rPr>
          <w:rFonts w:ascii="Times New Roman" w:hAnsi="Times New Roman" w:cs="Times New Roman"/>
          <w:b/>
          <w:sz w:val="24"/>
          <w:szCs w:val="24"/>
          <w:lang w:val="en-US"/>
        </w:rPr>
        <w:lastRenderedPageBreak/>
        <w:t>Telefoanele de con</w:t>
      </w:r>
      <w:r>
        <w:rPr>
          <w:rFonts w:ascii="Times New Roman" w:hAnsi="Times New Roman" w:cs="Times New Roman"/>
          <w:b/>
          <w:sz w:val="24"/>
          <w:szCs w:val="24"/>
          <w:lang w:val="en-US"/>
        </w:rPr>
        <w:t>tact pentru coordonarea asistenț</w:t>
      </w:r>
      <w:r w:rsidRPr="003474F5">
        <w:rPr>
          <w:rFonts w:ascii="Times New Roman" w:hAnsi="Times New Roman" w:cs="Times New Roman"/>
          <w:b/>
          <w:sz w:val="24"/>
          <w:szCs w:val="24"/>
          <w:lang w:val="en-US"/>
        </w:rPr>
        <w:t>ei medicale:</w:t>
      </w:r>
    </w:p>
    <w:tbl>
      <w:tblPr>
        <w:tblStyle w:val="a3"/>
        <w:tblW w:w="0" w:type="auto"/>
        <w:tblLook w:val="04A0" w:firstRow="1" w:lastRow="0" w:firstColumn="1" w:lastColumn="0" w:noHBand="0" w:noVBand="1"/>
      </w:tblPr>
      <w:tblGrid>
        <w:gridCol w:w="4667"/>
        <w:gridCol w:w="4621"/>
      </w:tblGrid>
      <w:tr w:rsidR="0036613D" w:rsidTr="008E45E5">
        <w:tc>
          <w:tcPr>
            <w:tcW w:w="4667" w:type="dxa"/>
          </w:tcPr>
          <w:p w:rsidR="0036613D" w:rsidRDefault="0036613D" w:rsidP="003474F5">
            <w:pPr>
              <w:rPr>
                <w:rFonts w:ascii="Times New Roman" w:hAnsi="Times New Roman" w:cs="Times New Roman"/>
                <w:b/>
                <w:sz w:val="24"/>
                <w:szCs w:val="24"/>
                <w:lang w:val="en-US"/>
              </w:rPr>
            </w:pPr>
            <w:r>
              <w:rPr>
                <w:rFonts w:ascii="Times New Roman" w:hAnsi="Times New Roman" w:cs="Times New Roman"/>
                <w:b/>
                <w:sz w:val="24"/>
                <w:szCs w:val="24"/>
                <w:lang w:val="en-US"/>
              </w:rPr>
              <w:t>Funcția</w:t>
            </w:r>
          </w:p>
        </w:tc>
        <w:tc>
          <w:tcPr>
            <w:tcW w:w="4621" w:type="dxa"/>
          </w:tcPr>
          <w:p w:rsidR="0036613D" w:rsidRPr="0036613D" w:rsidRDefault="0036613D" w:rsidP="003474F5">
            <w:pPr>
              <w:rPr>
                <w:rFonts w:ascii="Times New Roman" w:hAnsi="Times New Roman" w:cs="Times New Roman"/>
                <w:b/>
                <w:sz w:val="24"/>
                <w:szCs w:val="24"/>
                <w:lang w:val="en-US"/>
              </w:rPr>
            </w:pPr>
            <w:r w:rsidRPr="0036613D">
              <w:rPr>
                <w:rFonts w:ascii="Times New Roman" w:hAnsi="Times New Roman" w:cs="Times New Roman"/>
                <w:b/>
                <w:sz w:val="24"/>
                <w:szCs w:val="24"/>
              </w:rPr>
              <w:t>Telefon de contact</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rPr>
              <w:t>Vicedirector medical</w:t>
            </w:r>
          </w:p>
        </w:tc>
        <w:tc>
          <w:tcPr>
            <w:tcW w:w="4621" w:type="dxa"/>
          </w:tcPr>
          <w:p w:rsidR="0036613D" w:rsidRPr="0011618C" w:rsidRDefault="0036613D" w:rsidP="003474F5">
            <w:pPr>
              <w:rPr>
                <w:rFonts w:ascii="Times New Roman" w:hAnsi="Times New Roman" w:cs="Times New Roman"/>
                <w:sz w:val="24"/>
                <w:szCs w:val="24"/>
                <w:lang w:val="en-US"/>
              </w:rPr>
            </w:pPr>
            <w:r w:rsidRPr="0011618C">
              <w:rPr>
                <w:rFonts w:ascii="Times New Roman" w:hAnsi="Times New Roman" w:cs="Times New Roman"/>
                <w:sz w:val="24"/>
                <w:szCs w:val="24"/>
              </w:rPr>
              <w:t>(022) 403694</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ți</w:t>
            </w:r>
            <w:r w:rsidRPr="0011618C">
              <w:rPr>
                <w:rFonts w:ascii="Times New Roman" w:hAnsi="Times New Roman" w:cs="Times New Roman"/>
                <w:b/>
                <w:sz w:val="24"/>
                <w:szCs w:val="24"/>
              </w:rPr>
              <w:t>e internare</w:t>
            </w:r>
          </w:p>
        </w:tc>
        <w:tc>
          <w:tcPr>
            <w:tcW w:w="4621" w:type="dxa"/>
          </w:tcPr>
          <w:p w:rsidR="0036613D" w:rsidRPr="0011618C" w:rsidRDefault="0036613D" w:rsidP="003474F5">
            <w:pPr>
              <w:rPr>
                <w:rFonts w:ascii="Times New Roman" w:hAnsi="Times New Roman" w:cs="Times New Roman"/>
                <w:sz w:val="24"/>
                <w:szCs w:val="24"/>
                <w:lang w:val="ro-MD"/>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 xml:space="preserve">) </w:t>
            </w:r>
            <w:r w:rsidRPr="0011618C">
              <w:rPr>
                <w:rFonts w:ascii="Times New Roman" w:hAnsi="Times New Roman" w:cs="Times New Roman"/>
                <w:sz w:val="24"/>
                <w:szCs w:val="24"/>
              </w:rPr>
              <w:t>72836</w:t>
            </w:r>
            <w:r w:rsidRPr="0011618C">
              <w:rPr>
                <w:rFonts w:ascii="Times New Roman" w:hAnsi="Times New Roman" w:cs="Times New Roman"/>
                <w:sz w:val="24"/>
                <w:szCs w:val="24"/>
                <w:lang w:val="ro-MD"/>
              </w:rPr>
              <w:t>9</w:t>
            </w:r>
          </w:p>
        </w:tc>
      </w:tr>
      <w:tr w:rsidR="008E45E5" w:rsidTr="008E45E5">
        <w:tc>
          <w:tcPr>
            <w:tcW w:w="4667" w:type="dxa"/>
          </w:tcPr>
          <w:p w:rsidR="008E45E5" w:rsidRPr="0011618C" w:rsidRDefault="008E45E5" w:rsidP="003474F5">
            <w:pPr>
              <w:rPr>
                <w:rFonts w:ascii="Times New Roman" w:hAnsi="Times New Roman" w:cs="Times New Roman"/>
                <w:b/>
                <w:sz w:val="24"/>
                <w:szCs w:val="24"/>
                <w:lang w:val="ro-MD"/>
              </w:rPr>
            </w:pPr>
            <w:r>
              <w:rPr>
                <w:rFonts w:ascii="Times New Roman" w:hAnsi="Times New Roman" w:cs="Times New Roman"/>
                <w:b/>
                <w:sz w:val="24"/>
                <w:szCs w:val="24"/>
                <w:lang w:val="ro-MD"/>
              </w:rPr>
              <w:t>Secția consultativă</w:t>
            </w:r>
          </w:p>
        </w:tc>
        <w:tc>
          <w:tcPr>
            <w:tcW w:w="4621" w:type="dxa"/>
          </w:tcPr>
          <w:p w:rsidR="008E45E5" w:rsidRPr="008E45E5" w:rsidRDefault="008E45E5" w:rsidP="003474F5">
            <w:pPr>
              <w:rPr>
                <w:rFonts w:ascii="Times New Roman" w:hAnsi="Times New Roman" w:cs="Times New Roman"/>
                <w:sz w:val="24"/>
                <w:szCs w:val="24"/>
                <w:lang w:val="ro-MD"/>
              </w:rPr>
            </w:pPr>
            <w:r>
              <w:rPr>
                <w:rFonts w:ascii="Times New Roman" w:hAnsi="Times New Roman" w:cs="Times New Roman"/>
                <w:sz w:val="24"/>
                <w:szCs w:val="24"/>
                <w:lang w:val="ro-MD"/>
              </w:rPr>
              <w:t>511</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008E45E5">
              <w:rPr>
                <w:rFonts w:ascii="Times New Roman" w:hAnsi="Times New Roman" w:cs="Times New Roman"/>
                <w:b/>
                <w:sz w:val="24"/>
                <w:szCs w:val="24"/>
              </w:rPr>
              <w:t>ef Departament t</w:t>
            </w:r>
            <w:r w:rsidRPr="0011618C">
              <w:rPr>
                <w:rFonts w:ascii="Times New Roman" w:hAnsi="Times New Roman" w:cs="Times New Roman"/>
                <w:b/>
                <w:sz w:val="24"/>
                <w:szCs w:val="24"/>
              </w:rPr>
              <w:t>erapie</w:t>
            </w:r>
          </w:p>
        </w:tc>
        <w:tc>
          <w:tcPr>
            <w:tcW w:w="4621" w:type="dxa"/>
          </w:tcPr>
          <w:p w:rsidR="0036613D" w:rsidRPr="0011618C" w:rsidRDefault="0036613D" w:rsidP="003474F5">
            <w:pPr>
              <w:rPr>
                <w:rFonts w:ascii="Times New Roman" w:hAnsi="Times New Roman" w:cs="Times New Roman"/>
                <w:sz w:val="24"/>
                <w:szCs w:val="24"/>
                <w:lang w:val="en-US"/>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 xml:space="preserve">) </w:t>
            </w:r>
            <w:r w:rsidRPr="0011618C">
              <w:rPr>
                <w:rFonts w:ascii="Times New Roman" w:hAnsi="Times New Roman" w:cs="Times New Roman"/>
                <w:sz w:val="24"/>
                <w:szCs w:val="24"/>
              </w:rPr>
              <w:t>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w:t>
            </w:r>
            <w:r w:rsidRPr="0011618C">
              <w:rPr>
                <w:rFonts w:ascii="Times New Roman" w:hAnsi="Times New Roman" w:cs="Times New Roman"/>
                <w:sz w:val="24"/>
                <w:szCs w:val="24"/>
                <w:lang w:val="ro-MD"/>
              </w:rPr>
              <w:t>51</w:t>
            </w:r>
            <w:r w:rsidRPr="0011618C">
              <w:rPr>
                <w:rFonts w:ascii="Times New Roman" w:hAnsi="Times New Roman" w:cs="Times New Roman"/>
                <w:sz w:val="24"/>
                <w:szCs w:val="24"/>
              </w:rPr>
              <w:t>4</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rPr>
              <w:t>Sef Departament ATI</w:t>
            </w:r>
          </w:p>
        </w:tc>
        <w:tc>
          <w:tcPr>
            <w:tcW w:w="4621" w:type="dxa"/>
          </w:tcPr>
          <w:p w:rsidR="0036613D" w:rsidRPr="0011618C" w:rsidRDefault="0036613D" w:rsidP="003474F5">
            <w:pPr>
              <w:rPr>
                <w:rFonts w:ascii="Times New Roman" w:hAnsi="Times New Roman" w:cs="Times New Roman"/>
                <w:sz w:val="24"/>
                <w:szCs w:val="24"/>
                <w:lang w:val="en-US"/>
              </w:rPr>
            </w:pPr>
            <w:r w:rsidRPr="0011618C">
              <w:rPr>
                <w:rFonts w:ascii="Times New Roman" w:hAnsi="Times New Roman" w:cs="Times New Roman"/>
                <w:sz w:val="24"/>
                <w:szCs w:val="24"/>
              </w:rPr>
              <w:t>(022) 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36</w:t>
            </w:r>
            <w:r w:rsidRPr="0011618C">
              <w:rPr>
                <w:rFonts w:ascii="Times New Roman" w:hAnsi="Times New Roman" w:cs="Times New Roman"/>
                <w:sz w:val="24"/>
                <w:szCs w:val="24"/>
                <w:lang w:val="ro-MD"/>
              </w:rPr>
              <w:t>5</w:t>
            </w:r>
            <w:r w:rsidRPr="0011618C">
              <w:rPr>
                <w:rFonts w:ascii="Times New Roman" w:hAnsi="Times New Roman" w:cs="Times New Roman"/>
                <w:sz w:val="24"/>
                <w:szCs w:val="24"/>
              </w:rPr>
              <w:t>7</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Departament chirurgie</w:t>
            </w:r>
          </w:p>
        </w:tc>
        <w:tc>
          <w:tcPr>
            <w:tcW w:w="4621" w:type="dxa"/>
          </w:tcPr>
          <w:p w:rsidR="0036613D" w:rsidRPr="0011618C" w:rsidRDefault="0036613D" w:rsidP="003474F5">
            <w:pPr>
              <w:rPr>
                <w:rFonts w:ascii="Times New Roman" w:hAnsi="Times New Roman" w:cs="Times New Roman"/>
                <w:sz w:val="24"/>
                <w:szCs w:val="24"/>
                <w:lang w:val="en-US"/>
              </w:rPr>
            </w:pPr>
            <w:r w:rsidRPr="0011618C">
              <w:rPr>
                <w:rFonts w:ascii="Times New Roman" w:hAnsi="Times New Roman" w:cs="Times New Roman"/>
                <w:sz w:val="24"/>
                <w:szCs w:val="24"/>
                <w:lang w:val="ro-MD"/>
              </w:rPr>
              <w:t>(0</w:t>
            </w:r>
            <w:r w:rsidRPr="0011618C">
              <w:rPr>
                <w:rFonts w:ascii="Times New Roman" w:hAnsi="Times New Roman" w:cs="Times New Roman"/>
                <w:sz w:val="24"/>
                <w:szCs w:val="24"/>
              </w:rPr>
              <w:t>22) 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w:t>
            </w:r>
            <w:r w:rsidRPr="0011618C">
              <w:rPr>
                <w:rFonts w:ascii="Times New Roman" w:hAnsi="Times New Roman" w:cs="Times New Roman"/>
                <w:sz w:val="24"/>
                <w:szCs w:val="24"/>
                <w:lang w:val="ro-MD"/>
              </w:rPr>
              <w:t>5</w:t>
            </w:r>
            <w:r w:rsidRPr="0011618C">
              <w:rPr>
                <w:rFonts w:ascii="Times New Roman" w:hAnsi="Times New Roman" w:cs="Times New Roman"/>
                <w:sz w:val="24"/>
                <w:szCs w:val="24"/>
              </w:rPr>
              <w:t>34</w:t>
            </w:r>
          </w:p>
        </w:tc>
      </w:tr>
      <w:tr w:rsidR="0036613D" w:rsidTr="008E45E5">
        <w:tc>
          <w:tcPr>
            <w:tcW w:w="4667" w:type="dxa"/>
          </w:tcPr>
          <w:p w:rsidR="0036613D" w:rsidRPr="0011618C" w:rsidRDefault="0036613D" w:rsidP="0036613D">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w:t>
            </w:r>
            <w:r w:rsidRPr="0011618C">
              <w:rPr>
                <w:rFonts w:ascii="Times New Roman" w:hAnsi="Times New Roman" w:cs="Times New Roman"/>
                <w:b/>
                <w:sz w:val="24"/>
                <w:szCs w:val="24"/>
              </w:rPr>
              <w:t>ie Hepatologie</w:t>
            </w:r>
          </w:p>
        </w:tc>
        <w:tc>
          <w:tcPr>
            <w:tcW w:w="4621" w:type="dxa"/>
          </w:tcPr>
          <w:p w:rsidR="0036613D" w:rsidRPr="0011618C" w:rsidRDefault="0036613D" w:rsidP="003474F5">
            <w:pPr>
              <w:rPr>
                <w:rFonts w:ascii="Times New Roman" w:hAnsi="Times New Roman" w:cs="Times New Roman"/>
                <w:sz w:val="24"/>
                <w:szCs w:val="24"/>
                <w:lang w:val="ro-MD"/>
              </w:rPr>
            </w:pPr>
            <w:r w:rsidRPr="0011618C">
              <w:rPr>
                <w:rFonts w:ascii="Times New Roman" w:hAnsi="Times New Roman" w:cs="Times New Roman"/>
                <w:sz w:val="24"/>
                <w:szCs w:val="24"/>
              </w:rPr>
              <w:t>(</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22) 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34</w:t>
            </w:r>
            <w:r w:rsidRPr="0011618C">
              <w:rPr>
                <w:rFonts w:ascii="Times New Roman" w:hAnsi="Times New Roman" w:cs="Times New Roman"/>
                <w:sz w:val="24"/>
                <w:szCs w:val="24"/>
                <w:lang w:val="ro-MD"/>
              </w:rPr>
              <w:t>99</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w:t>
            </w:r>
            <w:r w:rsidRPr="0011618C">
              <w:rPr>
                <w:rFonts w:ascii="Times New Roman" w:hAnsi="Times New Roman" w:cs="Times New Roman"/>
                <w:b/>
                <w:sz w:val="24"/>
                <w:szCs w:val="24"/>
              </w:rPr>
              <w:t>ie Gastroenterologie</w:t>
            </w:r>
          </w:p>
        </w:tc>
        <w:tc>
          <w:tcPr>
            <w:tcW w:w="4621" w:type="dxa"/>
          </w:tcPr>
          <w:p w:rsidR="0036613D" w:rsidRPr="0011618C" w:rsidRDefault="0036613D" w:rsidP="003474F5">
            <w:pPr>
              <w:rPr>
                <w:rFonts w:ascii="Times New Roman" w:hAnsi="Times New Roman" w:cs="Times New Roman"/>
                <w:sz w:val="24"/>
                <w:szCs w:val="24"/>
                <w:lang w:val="en-US"/>
              </w:rPr>
            </w:pPr>
            <w:r w:rsidRPr="0011618C">
              <w:rPr>
                <w:rFonts w:ascii="Times New Roman" w:hAnsi="Times New Roman" w:cs="Times New Roman"/>
                <w:sz w:val="24"/>
                <w:szCs w:val="24"/>
              </w:rPr>
              <w:t>(022) 403</w:t>
            </w:r>
            <w:r w:rsidRPr="0011618C">
              <w:rPr>
                <w:rFonts w:ascii="Times New Roman" w:hAnsi="Times New Roman" w:cs="Times New Roman"/>
                <w:sz w:val="24"/>
                <w:szCs w:val="24"/>
                <w:lang w:val="ro-MD"/>
              </w:rPr>
              <w:t>5</w:t>
            </w:r>
            <w:r w:rsidRPr="0011618C">
              <w:rPr>
                <w:rFonts w:ascii="Times New Roman" w:hAnsi="Times New Roman" w:cs="Times New Roman"/>
                <w:sz w:val="24"/>
                <w:szCs w:val="24"/>
              </w:rPr>
              <w:t>18</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departament de bioinginerie</w:t>
            </w:r>
          </w:p>
        </w:tc>
        <w:tc>
          <w:tcPr>
            <w:tcW w:w="4621" w:type="dxa"/>
          </w:tcPr>
          <w:p w:rsidR="0036613D" w:rsidRPr="0011618C" w:rsidRDefault="0036613D" w:rsidP="003474F5">
            <w:pPr>
              <w:rPr>
                <w:rFonts w:ascii="Times New Roman" w:hAnsi="Times New Roman" w:cs="Times New Roman"/>
                <w:sz w:val="24"/>
                <w:szCs w:val="24"/>
                <w:lang w:val="en-US"/>
              </w:rPr>
            </w:pPr>
            <w:r w:rsidRPr="0011618C">
              <w:rPr>
                <w:rFonts w:ascii="Times New Roman" w:hAnsi="Times New Roman" w:cs="Times New Roman"/>
                <w:sz w:val="24"/>
                <w:szCs w:val="24"/>
              </w:rPr>
              <w:t>(022) 403601</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lang w:val="en-US"/>
              </w:rPr>
              <w:t>Șef secție diagnostic funcțional</w:t>
            </w:r>
          </w:p>
        </w:tc>
        <w:tc>
          <w:tcPr>
            <w:tcW w:w="4621" w:type="dxa"/>
          </w:tcPr>
          <w:p w:rsidR="0036613D" w:rsidRPr="0011618C" w:rsidRDefault="0036613D" w:rsidP="003474F5">
            <w:pPr>
              <w:rPr>
                <w:rFonts w:ascii="Times New Roman" w:hAnsi="Times New Roman" w:cs="Times New Roman"/>
                <w:sz w:val="24"/>
                <w:szCs w:val="24"/>
                <w:lang w:val="en-US"/>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w:t>
            </w:r>
            <w:r w:rsidRPr="0011618C">
              <w:rPr>
                <w:rFonts w:ascii="Times New Roman" w:hAnsi="Times New Roman" w:cs="Times New Roman"/>
                <w:sz w:val="24"/>
                <w:szCs w:val="24"/>
              </w:rPr>
              <w:t xml:space="preserve"> 403636</w:t>
            </w:r>
          </w:p>
        </w:tc>
      </w:tr>
      <w:tr w:rsidR="008E45E5" w:rsidTr="008E45E5">
        <w:tc>
          <w:tcPr>
            <w:tcW w:w="4667" w:type="dxa"/>
          </w:tcPr>
          <w:p w:rsidR="008E45E5" w:rsidRPr="0011618C" w:rsidRDefault="008E45E5" w:rsidP="003474F5">
            <w:pPr>
              <w:rPr>
                <w:rFonts w:ascii="Times New Roman" w:hAnsi="Times New Roman" w:cs="Times New Roman"/>
                <w:b/>
                <w:sz w:val="24"/>
                <w:szCs w:val="24"/>
                <w:lang w:val="en-US"/>
              </w:rPr>
            </w:pPr>
            <w:r>
              <w:rPr>
                <w:rFonts w:ascii="Times New Roman" w:hAnsi="Times New Roman" w:cs="Times New Roman"/>
                <w:b/>
                <w:sz w:val="24"/>
                <w:szCs w:val="24"/>
                <w:lang w:val="en-US"/>
              </w:rPr>
              <w:t>Endoscopie</w:t>
            </w:r>
          </w:p>
        </w:tc>
        <w:tc>
          <w:tcPr>
            <w:tcW w:w="4621" w:type="dxa"/>
          </w:tcPr>
          <w:p w:rsidR="008E45E5" w:rsidRPr="008E45E5" w:rsidRDefault="008E45E5" w:rsidP="003474F5">
            <w:pPr>
              <w:rPr>
                <w:rFonts w:ascii="Times New Roman" w:hAnsi="Times New Roman" w:cs="Times New Roman"/>
                <w:sz w:val="24"/>
                <w:szCs w:val="24"/>
                <w:lang w:val="ro-MD"/>
              </w:rPr>
            </w:pPr>
            <w:r>
              <w:rPr>
                <w:rFonts w:ascii="Times New Roman" w:hAnsi="Times New Roman" w:cs="Times New Roman"/>
                <w:sz w:val="24"/>
                <w:szCs w:val="24"/>
                <w:lang w:val="ro-MD"/>
              </w:rPr>
              <w:t>386</w:t>
            </w:r>
          </w:p>
        </w:tc>
      </w:tr>
      <w:tr w:rsidR="0036613D" w:rsidTr="008E45E5">
        <w:tc>
          <w:tcPr>
            <w:tcW w:w="4667" w:type="dxa"/>
          </w:tcPr>
          <w:p w:rsidR="0036613D" w:rsidRPr="0011618C" w:rsidRDefault="008E45E5" w:rsidP="003474F5">
            <w:pPr>
              <w:rPr>
                <w:rFonts w:ascii="Times New Roman" w:hAnsi="Times New Roman" w:cs="Times New Roman"/>
                <w:b/>
                <w:sz w:val="24"/>
                <w:szCs w:val="24"/>
                <w:lang w:val="en-US"/>
              </w:rPr>
            </w:pPr>
            <w:r>
              <w:rPr>
                <w:rFonts w:ascii="Times New Roman" w:hAnsi="Times New Roman" w:cs="Times New Roman"/>
                <w:b/>
                <w:sz w:val="24"/>
                <w:szCs w:val="24"/>
                <w:lang w:val="ro-MD"/>
              </w:rPr>
              <w:t>Serviciul de prevenire al infecțiilor</w:t>
            </w:r>
            <w:r w:rsidR="002762CC">
              <w:rPr>
                <w:rFonts w:ascii="Times New Roman" w:hAnsi="Times New Roman" w:cs="Times New Roman"/>
                <w:b/>
                <w:sz w:val="24"/>
                <w:szCs w:val="24"/>
                <w:lang w:val="ro-MD"/>
              </w:rPr>
              <w:t xml:space="preserve"> asociate asistenței medicale</w:t>
            </w:r>
          </w:p>
        </w:tc>
        <w:tc>
          <w:tcPr>
            <w:tcW w:w="4621" w:type="dxa"/>
          </w:tcPr>
          <w:p w:rsidR="0036613D" w:rsidRPr="0011618C" w:rsidRDefault="002762CC" w:rsidP="003474F5">
            <w:pPr>
              <w:rPr>
                <w:rFonts w:ascii="Times New Roman" w:hAnsi="Times New Roman" w:cs="Times New Roman"/>
                <w:sz w:val="24"/>
                <w:szCs w:val="24"/>
                <w:lang w:val="en-US"/>
              </w:rPr>
            </w:pPr>
            <w:r>
              <w:rPr>
                <w:rFonts w:ascii="Times New Roman" w:hAnsi="Times New Roman" w:cs="Times New Roman"/>
                <w:sz w:val="24"/>
                <w:szCs w:val="24"/>
                <w:lang w:val="ro-MD"/>
              </w:rPr>
              <w:t xml:space="preserve">522/ </w:t>
            </w:r>
            <w:r w:rsidR="0036613D" w:rsidRPr="0011618C">
              <w:rPr>
                <w:rFonts w:ascii="Times New Roman" w:hAnsi="Times New Roman" w:cs="Times New Roman"/>
                <w:sz w:val="24"/>
                <w:szCs w:val="24"/>
              </w:rPr>
              <w:t>(</w:t>
            </w:r>
            <w:r w:rsidR="0036613D" w:rsidRPr="0011618C">
              <w:rPr>
                <w:rFonts w:ascii="Times New Roman" w:hAnsi="Times New Roman" w:cs="Times New Roman"/>
                <w:sz w:val="24"/>
                <w:szCs w:val="24"/>
                <w:lang w:val="ro-MD"/>
              </w:rPr>
              <w:t>0</w:t>
            </w:r>
            <w:r w:rsidR="0036613D" w:rsidRPr="0011618C">
              <w:rPr>
                <w:rFonts w:ascii="Times New Roman" w:hAnsi="Times New Roman" w:cs="Times New Roman"/>
                <w:sz w:val="24"/>
                <w:szCs w:val="24"/>
              </w:rPr>
              <w:t>22) 403687</w:t>
            </w:r>
          </w:p>
        </w:tc>
      </w:tr>
      <w:tr w:rsidR="0036613D" w:rsidTr="008E45E5">
        <w:tc>
          <w:tcPr>
            <w:tcW w:w="4667" w:type="dxa"/>
          </w:tcPr>
          <w:p w:rsidR="0036613D" w:rsidRPr="0011618C" w:rsidRDefault="0036613D" w:rsidP="003474F5">
            <w:pPr>
              <w:rPr>
                <w:rFonts w:ascii="Times New Roman" w:hAnsi="Times New Roman" w:cs="Times New Roman"/>
                <w:b/>
                <w:sz w:val="24"/>
                <w:szCs w:val="24"/>
                <w:lang w:val="en-US"/>
              </w:rPr>
            </w:pPr>
            <w:r w:rsidRPr="0011618C">
              <w:rPr>
                <w:rFonts w:ascii="Times New Roman" w:hAnsi="Times New Roman" w:cs="Times New Roman"/>
                <w:b/>
                <w:sz w:val="24"/>
                <w:szCs w:val="24"/>
              </w:rPr>
              <w:t>EUROMED</w:t>
            </w:r>
          </w:p>
        </w:tc>
        <w:tc>
          <w:tcPr>
            <w:tcW w:w="4621" w:type="dxa"/>
          </w:tcPr>
          <w:p w:rsidR="0036613D" w:rsidRPr="0011618C" w:rsidRDefault="0036613D" w:rsidP="003474F5">
            <w:pPr>
              <w:rPr>
                <w:rFonts w:ascii="Times New Roman" w:hAnsi="Times New Roman" w:cs="Times New Roman"/>
                <w:sz w:val="24"/>
                <w:szCs w:val="24"/>
                <w:lang w:val="en-US"/>
              </w:rPr>
            </w:pPr>
            <w:r w:rsidRPr="0011618C">
              <w:rPr>
                <w:rFonts w:ascii="Times New Roman" w:hAnsi="Times New Roman" w:cs="Times New Roman"/>
                <w:sz w:val="24"/>
                <w:szCs w:val="24"/>
              </w:rPr>
              <w:t>2-54</w:t>
            </w:r>
            <w:r w:rsidRPr="0011618C">
              <w:rPr>
                <w:rFonts w:ascii="Times New Roman" w:hAnsi="Times New Roman" w:cs="Times New Roman"/>
                <w:sz w:val="24"/>
                <w:szCs w:val="24"/>
                <w:lang w:val="ro-MD"/>
              </w:rPr>
              <w:t xml:space="preserve"> / </w:t>
            </w:r>
            <w:r w:rsidRPr="0011618C">
              <w:rPr>
                <w:rFonts w:ascii="Times New Roman" w:hAnsi="Times New Roman" w:cs="Times New Roman"/>
                <w:sz w:val="24"/>
                <w:szCs w:val="24"/>
              </w:rPr>
              <w:t>2-52</w:t>
            </w:r>
          </w:p>
        </w:tc>
      </w:tr>
    </w:tbl>
    <w:p w:rsidR="003474F5" w:rsidRPr="0036613D" w:rsidRDefault="003474F5" w:rsidP="003474F5">
      <w:pPr>
        <w:rPr>
          <w:rFonts w:ascii="Times New Roman" w:hAnsi="Times New Roman" w:cs="Times New Roman"/>
          <w:b/>
          <w:sz w:val="24"/>
          <w:szCs w:val="24"/>
          <w:lang w:val="en-US"/>
        </w:rPr>
      </w:pPr>
    </w:p>
    <w:p w:rsidR="003474F5" w:rsidRDefault="0036613D" w:rsidP="0036613D">
      <w:pPr>
        <w:pStyle w:val="afa"/>
        <w:ind w:left="1080" w:hanging="1080"/>
        <w:rPr>
          <w:b/>
        </w:rPr>
      </w:pPr>
      <w:r>
        <w:rPr>
          <w:b/>
        </w:rPr>
        <w:t>Telefoanele de urgență:</w:t>
      </w:r>
    </w:p>
    <w:tbl>
      <w:tblPr>
        <w:tblStyle w:val="a3"/>
        <w:tblW w:w="0" w:type="auto"/>
        <w:tblInd w:w="-34" w:type="dxa"/>
        <w:tblLook w:val="04A0" w:firstRow="1" w:lastRow="0" w:firstColumn="1" w:lastColumn="0" w:noHBand="0" w:noVBand="1"/>
      </w:tblPr>
      <w:tblGrid>
        <w:gridCol w:w="3860"/>
        <w:gridCol w:w="2795"/>
        <w:gridCol w:w="2667"/>
      </w:tblGrid>
      <w:tr w:rsidR="005F7000" w:rsidTr="002821B8">
        <w:tc>
          <w:tcPr>
            <w:tcW w:w="3944" w:type="dxa"/>
          </w:tcPr>
          <w:p w:rsidR="005F7000" w:rsidRDefault="005F7000" w:rsidP="0036613D">
            <w:pPr>
              <w:pStyle w:val="afa"/>
              <w:ind w:left="0"/>
              <w:rPr>
                <w:b/>
                <w:szCs w:val="24"/>
                <w:lang w:val="en-US"/>
              </w:rPr>
            </w:pPr>
            <w:r>
              <w:rPr>
                <w:b/>
                <w:szCs w:val="24"/>
                <w:lang w:val="en-US"/>
              </w:rPr>
              <w:t>Secția</w:t>
            </w:r>
          </w:p>
        </w:tc>
        <w:tc>
          <w:tcPr>
            <w:tcW w:w="2830" w:type="dxa"/>
          </w:tcPr>
          <w:p w:rsidR="005F7000" w:rsidRDefault="005F7000" w:rsidP="0036613D">
            <w:pPr>
              <w:pStyle w:val="afa"/>
              <w:ind w:left="0"/>
              <w:rPr>
                <w:b/>
                <w:szCs w:val="24"/>
                <w:lang w:val="en-US"/>
              </w:rPr>
            </w:pPr>
            <w:r>
              <w:rPr>
                <w:b/>
                <w:szCs w:val="24"/>
                <w:lang w:val="en-US"/>
              </w:rPr>
              <w:t>Număr de telefon,serviciu</w:t>
            </w:r>
          </w:p>
        </w:tc>
        <w:tc>
          <w:tcPr>
            <w:tcW w:w="2724" w:type="dxa"/>
          </w:tcPr>
          <w:p w:rsidR="005F7000" w:rsidRDefault="005F7000" w:rsidP="0036613D">
            <w:pPr>
              <w:pStyle w:val="afa"/>
              <w:ind w:left="0"/>
              <w:rPr>
                <w:b/>
                <w:szCs w:val="24"/>
                <w:lang w:val="en-US"/>
              </w:rPr>
            </w:pPr>
            <w:r>
              <w:rPr>
                <w:b/>
                <w:szCs w:val="24"/>
                <w:lang w:val="en-US"/>
              </w:rPr>
              <w:t>Telefon intern</w:t>
            </w:r>
          </w:p>
        </w:tc>
      </w:tr>
      <w:tr w:rsidR="005F7000" w:rsidTr="000D08CB">
        <w:tc>
          <w:tcPr>
            <w:tcW w:w="3944" w:type="dxa"/>
          </w:tcPr>
          <w:p w:rsidR="005F7000" w:rsidRDefault="005F7000" w:rsidP="0036613D">
            <w:pPr>
              <w:pStyle w:val="afa"/>
              <w:ind w:left="0"/>
              <w:rPr>
                <w:b/>
                <w:szCs w:val="24"/>
                <w:lang w:val="en-US"/>
              </w:rPr>
            </w:pPr>
            <w:r>
              <w:rPr>
                <w:b/>
                <w:szCs w:val="24"/>
                <w:lang w:val="en-US"/>
              </w:rPr>
              <w:t>Secția internare</w:t>
            </w:r>
          </w:p>
        </w:tc>
        <w:tc>
          <w:tcPr>
            <w:tcW w:w="2830" w:type="dxa"/>
            <w:vAlign w:val="bottom"/>
          </w:tcPr>
          <w:p w:rsidR="005F7000" w:rsidRPr="005F7000" w:rsidRDefault="005F7000" w:rsidP="000D08CB">
            <w:pPr>
              <w:pStyle w:val="afa"/>
              <w:ind w:left="0"/>
              <w:rPr>
                <w:b/>
                <w:szCs w:val="24"/>
                <w:lang w:val="en-US"/>
              </w:rPr>
            </w:pPr>
            <w:r w:rsidRPr="005F7000">
              <w:rPr>
                <w:b/>
              </w:rPr>
              <w:t>(022) 728314</w:t>
            </w:r>
          </w:p>
        </w:tc>
        <w:tc>
          <w:tcPr>
            <w:tcW w:w="2724" w:type="dxa"/>
            <w:vAlign w:val="bottom"/>
          </w:tcPr>
          <w:p w:rsidR="005F7000" w:rsidRDefault="005F7000" w:rsidP="000D08CB">
            <w:pPr>
              <w:pStyle w:val="afa"/>
              <w:ind w:left="0"/>
              <w:rPr>
                <w:b/>
                <w:szCs w:val="24"/>
                <w:lang w:val="en-US"/>
              </w:rPr>
            </w:pPr>
            <w:r>
              <w:rPr>
                <w:b/>
                <w:szCs w:val="24"/>
                <w:lang w:val="en-US"/>
              </w:rPr>
              <w:t>5-41</w:t>
            </w:r>
          </w:p>
        </w:tc>
      </w:tr>
      <w:tr w:rsidR="005F7000" w:rsidTr="000D08CB">
        <w:tc>
          <w:tcPr>
            <w:tcW w:w="3944" w:type="dxa"/>
          </w:tcPr>
          <w:p w:rsidR="005F7000" w:rsidRPr="005F7000" w:rsidRDefault="005F7000" w:rsidP="0036613D">
            <w:pPr>
              <w:pStyle w:val="afa"/>
              <w:ind w:left="0"/>
              <w:rPr>
                <w:b/>
                <w:szCs w:val="24"/>
                <w:lang w:val="en-US"/>
              </w:rPr>
            </w:pPr>
            <w:r>
              <w:rPr>
                <w:b/>
              </w:rPr>
              <w:t>Oformarea fiș</w:t>
            </w:r>
            <w:r w:rsidRPr="005F7000">
              <w:rPr>
                <w:b/>
              </w:rPr>
              <w:t>elor</w:t>
            </w:r>
          </w:p>
        </w:tc>
        <w:tc>
          <w:tcPr>
            <w:tcW w:w="2830" w:type="dxa"/>
            <w:vAlign w:val="bottom"/>
          </w:tcPr>
          <w:p w:rsidR="005F7000" w:rsidRPr="005F7000" w:rsidRDefault="005F7000" w:rsidP="000D08CB">
            <w:pPr>
              <w:pStyle w:val="afa"/>
              <w:ind w:left="0"/>
              <w:rPr>
                <w:b/>
                <w:szCs w:val="24"/>
                <w:lang w:val="en-US"/>
              </w:rPr>
            </w:pPr>
            <w:r w:rsidRPr="005F7000">
              <w:rPr>
                <w:b/>
              </w:rPr>
              <w:t>0671001 84</w:t>
            </w:r>
          </w:p>
        </w:tc>
        <w:tc>
          <w:tcPr>
            <w:tcW w:w="2724" w:type="dxa"/>
            <w:vAlign w:val="bottom"/>
          </w:tcPr>
          <w:p w:rsidR="005F7000" w:rsidRDefault="005F7000" w:rsidP="000D08CB">
            <w:pPr>
              <w:pStyle w:val="afa"/>
              <w:ind w:left="0"/>
              <w:rPr>
                <w:b/>
                <w:szCs w:val="24"/>
                <w:lang w:val="en-US"/>
              </w:rPr>
            </w:pPr>
          </w:p>
        </w:tc>
      </w:tr>
      <w:tr w:rsidR="005F7000" w:rsidTr="000D08CB">
        <w:tc>
          <w:tcPr>
            <w:tcW w:w="3944" w:type="dxa"/>
          </w:tcPr>
          <w:p w:rsidR="005F7000" w:rsidRDefault="005F7000" w:rsidP="0036613D">
            <w:pPr>
              <w:pStyle w:val="afa"/>
              <w:ind w:left="0"/>
              <w:rPr>
                <w:b/>
                <w:szCs w:val="24"/>
                <w:lang w:val="en-US"/>
              </w:rPr>
            </w:pPr>
            <w:r>
              <w:rPr>
                <w:b/>
                <w:szCs w:val="24"/>
                <w:lang w:val="en-US"/>
              </w:rPr>
              <w:t>Paza</w:t>
            </w:r>
          </w:p>
        </w:tc>
        <w:tc>
          <w:tcPr>
            <w:tcW w:w="2830" w:type="dxa"/>
            <w:vAlign w:val="bottom"/>
          </w:tcPr>
          <w:p w:rsidR="005F7000" w:rsidRPr="005F7000" w:rsidRDefault="005F7000" w:rsidP="000D08CB">
            <w:pPr>
              <w:pStyle w:val="afa"/>
              <w:ind w:left="0"/>
              <w:rPr>
                <w:b/>
                <w:szCs w:val="24"/>
                <w:lang w:val="en-US"/>
              </w:rPr>
            </w:pPr>
          </w:p>
        </w:tc>
        <w:tc>
          <w:tcPr>
            <w:tcW w:w="2724" w:type="dxa"/>
            <w:vAlign w:val="bottom"/>
          </w:tcPr>
          <w:p w:rsidR="005F7000" w:rsidRDefault="005F7000" w:rsidP="000D08CB">
            <w:pPr>
              <w:pStyle w:val="afa"/>
              <w:ind w:left="0"/>
              <w:rPr>
                <w:b/>
                <w:szCs w:val="24"/>
                <w:lang w:val="en-US"/>
              </w:rPr>
            </w:pPr>
            <w:r>
              <w:rPr>
                <w:b/>
                <w:szCs w:val="24"/>
                <w:lang w:val="en-US"/>
              </w:rPr>
              <w:t>5-15</w:t>
            </w:r>
          </w:p>
        </w:tc>
      </w:tr>
      <w:tr w:rsidR="005F7000" w:rsidTr="000D08CB">
        <w:tc>
          <w:tcPr>
            <w:tcW w:w="3944" w:type="dxa"/>
          </w:tcPr>
          <w:p w:rsidR="005F7000" w:rsidRDefault="005F7000" w:rsidP="0036613D">
            <w:pPr>
              <w:pStyle w:val="afa"/>
              <w:ind w:left="0"/>
              <w:rPr>
                <w:b/>
                <w:szCs w:val="24"/>
                <w:lang w:val="en-US"/>
              </w:rPr>
            </w:pPr>
            <w:r>
              <w:rPr>
                <w:b/>
                <w:szCs w:val="24"/>
                <w:lang w:val="en-US"/>
              </w:rPr>
              <w:t>Serviciul tehnic</w:t>
            </w:r>
          </w:p>
        </w:tc>
        <w:tc>
          <w:tcPr>
            <w:tcW w:w="2830" w:type="dxa"/>
            <w:vAlign w:val="bottom"/>
          </w:tcPr>
          <w:p w:rsidR="005F7000" w:rsidRPr="005F7000" w:rsidRDefault="005F7000" w:rsidP="000D08CB">
            <w:pPr>
              <w:pStyle w:val="afa"/>
              <w:ind w:left="0"/>
              <w:rPr>
                <w:b/>
                <w:szCs w:val="24"/>
                <w:lang w:val="en-US"/>
              </w:rPr>
            </w:pPr>
          </w:p>
        </w:tc>
        <w:tc>
          <w:tcPr>
            <w:tcW w:w="2724" w:type="dxa"/>
            <w:vAlign w:val="bottom"/>
          </w:tcPr>
          <w:p w:rsidR="005F7000" w:rsidRDefault="005F7000" w:rsidP="000D08CB">
            <w:pPr>
              <w:pStyle w:val="afa"/>
              <w:ind w:left="0"/>
              <w:rPr>
                <w:b/>
                <w:szCs w:val="24"/>
                <w:lang w:val="en-US"/>
              </w:rPr>
            </w:pPr>
            <w:r>
              <w:rPr>
                <w:b/>
                <w:szCs w:val="24"/>
                <w:lang w:val="en-US"/>
              </w:rPr>
              <w:t>7-77</w:t>
            </w:r>
          </w:p>
        </w:tc>
      </w:tr>
      <w:tr w:rsidR="005F7000" w:rsidTr="000D08CB">
        <w:tc>
          <w:tcPr>
            <w:tcW w:w="3944" w:type="dxa"/>
          </w:tcPr>
          <w:p w:rsidR="005F7000" w:rsidRDefault="005F7000" w:rsidP="0036613D">
            <w:pPr>
              <w:pStyle w:val="afa"/>
              <w:ind w:left="0"/>
              <w:rPr>
                <w:b/>
                <w:szCs w:val="24"/>
                <w:lang w:val="en-US"/>
              </w:rPr>
            </w:pPr>
            <w:r>
              <w:rPr>
                <w:b/>
                <w:szCs w:val="24"/>
                <w:lang w:val="en-US"/>
              </w:rPr>
              <w:t>Laborator planic</w:t>
            </w:r>
          </w:p>
        </w:tc>
        <w:tc>
          <w:tcPr>
            <w:tcW w:w="2830" w:type="dxa"/>
            <w:vAlign w:val="bottom"/>
          </w:tcPr>
          <w:p w:rsidR="005F7000" w:rsidRPr="005F7000" w:rsidRDefault="005F7000" w:rsidP="000D08CB">
            <w:pPr>
              <w:pStyle w:val="afa"/>
              <w:ind w:left="0"/>
              <w:rPr>
                <w:b/>
                <w:szCs w:val="24"/>
                <w:lang w:val="en-US"/>
              </w:rPr>
            </w:pPr>
          </w:p>
        </w:tc>
        <w:tc>
          <w:tcPr>
            <w:tcW w:w="2724" w:type="dxa"/>
            <w:vAlign w:val="bottom"/>
          </w:tcPr>
          <w:p w:rsidR="005F7000" w:rsidRDefault="005F7000" w:rsidP="000D08CB">
            <w:pPr>
              <w:pStyle w:val="afa"/>
              <w:ind w:left="0"/>
              <w:rPr>
                <w:b/>
                <w:szCs w:val="24"/>
                <w:lang w:val="en-US"/>
              </w:rPr>
            </w:pPr>
            <w:r>
              <w:rPr>
                <w:b/>
                <w:szCs w:val="24"/>
                <w:lang w:val="en-US"/>
              </w:rPr>
              <w:t>5-62</w:t>
            </w:r>
          </w:p>
        </w:tc>
      </w:tr>
      <w:tr w:rsidR="005F7000" w:rsidTr="000D08CB">
        <w:tc>
          <w:tcPr>
            <w:tcW w:w="3944" w:type="dxa"/>
          </w:tcPr>
          <w:p w:rsidR="005F7000" w:rsidRDefault="005F7000" w:rsidP="0036613D">
            <w:pPr>
              <w:pStyle w:val="afa"/>
              <w:ind w:left="0"/>
              <w:rPr>
                <w:b/>
                <w:szCs w:val="24"/>
                <w:lang w:val="en-US"/>
              </w:rPr>
            </w:pPr>
            <w:r>
              <w:rPr>
                <w:b/>
                <w:szCs w:val="24"/>
                <w:lang w:val="en-US"/>
              </w:rPr>
              <w:t xml:space="preserve">Laborator de urgență </w:t>
            </w:r>
          </w:p>
        </w:tc>
        <w:tc>
          <w:tcPr>
            <w:tcW w:w="2830" w:type="dxa"/>
            <w:vAlign w:val="bottom"/>
          </w:tcPr>
          <w:p w:rsidR="005F7000" w:rsidRPr="005F7000" w:rsidRDefault="005F7000" w:rsidP="000D08CB">
            <w:pPr>
              <w:pStyle w:val="afa"/>
              <w:ind w:left="0"/>
              <w:rPr>
                <w:b/>
                <w:szCs w:val="24"/>
                <w:lang w:val="en-US"/>
              </w:rPr>
            </w:pPr>
          </w:p>
        </w:tc>
        <w:tc>
          <w:tcPr>
            <w:tcW w:w="2724" w:type="dxa"/>
            <w:vAlign w:val="bottom"/>
          </w:tcPr>
          <w:p w:rsidR="005F7000" w:rsidRDefault="005F7000" w:rsidP="000D08CB">
            <w:pPr>
              <w:pStyle w:val="afa"/>
              <w:ind w:left="0"/>
              <w:rPr>
                <w:b/>
                <w:szCs w:val="24"/>
                <w:lang w:val="en-US"/>
              </w:rPr>
            </w:pPr>
            <w:r>
              <w:rPr>
                <w:b/>
                <w:szCs w:val="24"/>
                <w:lang w:val="en-US"/>
              </w:rPr>
              <w:t>4-86</w:t>
            </w:r>
          </w:p>
        </w:tc>
      </w:tr>
      <w:tr w:rsidR="005F7000" w:rsidTr="000D08CB">
        <w:tc>
          <w:tcPr>
            <w:tcW w:w="3944" w:type="dxa"/>
          </w:tcPr>
          <w:p w:rsidR="005F7000" w:rsidRDefault="005F7000" w:rsidP="005F7000">
            <w:pPr>
              <w:pStyle w:val="afa"/>
              <w:ind w:left="0"/>
              <w:rPr>
                <w:b/>
                <w:szCs w:val="24"/>
                <w:lang w:val="en-US"/>
              </w:rPr>
            </w:pPr>
            <w:r>
              <w:rPr>
                <w:b/>
                <w:szCs w:val="24"/>
                <w:lang w:val="en-US"/>
              </w:rPr>
              <w:t>Investigații imagostice de urgență</w:t>
            </w:r>
          </w:p>
        </w:tc>
        <w:tc>
          <w:tcPr>
            <w:tcW w:w="2830" w:type="dxa"/>
            <w:vAlign w:val="bottom"/>
          </w:tcPr>
          <w:p w:rsidR="005F7000" w:rsidRPr="005F7000" w:rsidRDefault="005F7000" w:rsidP="000D08CB">
            <w:pPr>
              <w:pStyle w:val="afa"/>
              <w:ind w:left="0"/>
              <w:rPr>
                <w:b/>
                <w:szCs w:val="24"/>
                <w:lang w:val="en-US"/>
              </w:rPr>
            </w:pPr>
            <w:r w:rsidRPr="005F7000">
              <w:rPr>
                <w:b/>
              </w:rPr>
              <w:t>079966185</w:t>
            </w:r>
          </w:p>
        </w:tc>
        <w:tc>
          <w:tcPr>
            <w:tcW w:w="2724" w:type="dxa"/>
            <w:vAlign w:val="bottom"/>
          </w:tcPr>
          <w:p w:rsidR="005F7000" w:rsidRDefault="005F7000" w:rsidP="000D08CB">
            <w:pPr>
              <w:pStyle w:val="afa"/>
              <w:ind w:left="0"/>
              <w:rPr>
                <w:b/>
                <w:szCs w:val="24"/>
                <w:lang w:val="en-US"/>
              </w:rPr>
            </w:pPr>
          </w:p>
        </w:tc>
      </w:tr>
      <w:tr w:rsidR="005F7000" w:rsidTr="000D08CB">
        <w:tc>
          <w:tcPr>
            <w:tcW w:w="3944" w:type="dxa"/>
          </w:tcPr>
          <w:p w:rsidR="005F7000" w:rsidRDefault="005F7000" w:rsidP="0036613D">
            <w:pPr>
              <w:pStyle w:val="afa"/>
              <w:ind w:left="0"/>
              <w:rPr>
                <w:b/>
                <w:szCs w:val="24"/>
                <w:lang w:val="en-US"/>
              </w:rPr>
            </w:pPr>
            <w:r>
              <w:rPr>
                <w:b/>
                <w:szCs w:val="24"/>
                <w:lang w:val="en-US"/>
              </w:rPr>
              <w:t>ECG</w:t>
            </w:r>
          </w:p>
        </w:tc>
        <w:tc>
          <w:tcPr>
            <w:tcW w:w="2830" w:type="dxa"/>
            <w:vAlign w:val="bottom"/>
          </w:tcPr>
          <w:p w:rsidR="005F7000" w:rsidRDefault="005F7000" w:rsidP="000D08CB">
            <w:pPr>
              <w:pStyle w:val="afa"/>
              <w:ind w:left="0"/>
              <w:rPr>
                <w:b/>
                <w:szCs w:val="24"/>
                <w:lang w:val="en-US"/>
              </w:rPr>
            </w:pPr>
          </w:p>
        </w:tc>
        <w:tc>
          <w:tcPr>
            <w:tcW w:w="2724" w:type="dxa"/>
            <w:vAlign w:val="bottom"/>
          </w:tcPr>
          <w:p w:rsidR="005F7000" w:rsidRDefault="005F7000" w:rsidP="000D08CB">
            <w:pPr>
              <w:pStyle w:val="afa"/>
              <w:ind w:left="0"/>
              <w:rPr>
                <w:b/>
                <w:szCs w:val="24"/>
                <w:lang w:val="en-US"/>
              </w:rPr>
            </w:pPr>
            <w:r>
              <w:rPr>
                <w:b/>
                <w:szCs w:val="24"/>
                <w:lang w:val="en-US"/>
              </w:rPr>
              <w:t>2-10</w:t>
            </w:r>
          </w:p>
        </w:tc>
      </w:tr>
    </w:tbl>
    <w:p w:rsidR="005F7000" w:rsidRDefault="005F7000" w:rsidP="0036613D">
      <w:pPr>
        <w:pStyle w:val="afa"/>
        <w:ind w:left="1080" w:hanging="1080"/>
        <w:rPr>
          <w:b/>
          <w:szCs w:val="24"/>
          <w:lang w:val="en-US"/>
        </w:rPr>
      </w:pPr>
    </w:p>
    <w:p w:rsidR="002821B8" w:rsidRDefault="002821B8"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bookmarkStart w:id="136" w:name="_Toc331523477"/>
      <w:bookmarkStart w:id="137" w:name="_Toc331526285"/>
      <w:bookmarkStart w:id="138" w:name="_Toc331526452"/>
      <w:bookmarkStart w:id="139" w:name="_Toc27770345"/>
      <w:bookmarkStart w:id="140" w:name="_Toc177994826"/>
    </w:p>
    <w:p w:rsidR="002821B8" w:rsidRDefault="002821B8"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2821B8" w:rsidRDefault="002821B8"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2821B8" w:rsidRDefault="002821B8"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2821B8" w:rsidRDefault="002821B8"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2821B8" w:rsidRDefault="002821B8"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D645AA" w:rsidRDefault="00D645AA"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DC5038" w:rsidRDefault="00DC5038"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8C036D" w:rsidRDefault="008C036D"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p>
    <w:p w:rsidR="002821B8" w:rsidRPr="002821B8" w:rsidRDefault="002821B8" w:rsidP="002821B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rPr>
          <w:rFonts w:ascii="Times New Roman" w:eastAsia="Times New Roman" w:hAnsi="Times New Roman" w:cs="Times New Roman"/>
          <w:b/>
          <w:caps/>
          <w:spacing w:val="15"/>
          <w:sz w:val="24"/>
          <w:lang w:val="ro-RO" w:eastAsia="x-none"/>
        </w:rPr>
      </w:pPr>
      <w:r w:rsidRPr="002821B8">
        <w:rPr>
          <w:rFonts w:ascii="Times New Roman" w:eastAsia="Times New Roman" w:hAnsi="Times New Roman" w:cs="Times New Roman"/>
          <w:b/>
          <w:caps/>
          <w:spacing w:val="15"/>
          <w:sz w:val="24"/>
          <w:lang w:val="ro-RO" w:eastAsia="x-none"/>
        </w:rPr>
        <w:lastRenderedPageBreak/>
        <w:t>ANEXE</w:t>
      </w:r>
      <w:bookmarkStart w:id="141" w:name="_Toc205889036"/>
      <w:bookmarkStart w:id="142" w:name="_Toc331523478"/>
      <w:bookmarkStart w:id="143" w:name="_Toc331526286"/>
      <w:bookmarkStart w:id="144" w:name="_Toc331526453"/>
      <w:bookmarkEnd w:id="136"/>
      <w:bookmarkEnd w:id="137"/>
      <w:bookmarkEnd w:id="138"/>
      <w:bookmarkEnd w:id="139"/>
      <w:bookmarkEnd w:id="140"/>
    </w:p>
    <w:p w:rsidR="002821B8" w:rsidRPr="002821B8" w:rsidRDefault="002821B8" w:rsidP="002821B8">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45" w:name="_Toc177994827"/>
      <w:r w:rsidRPr="002821B8">
        <w:rPr>
          <w:rFonts w:ascii="Times New Roman" w:eastAsia="Times New Roman" w:hAnsi="Times New Roman" w:cs="Times New Roman"/>
          <w:b/>
          <w:spacing w:val="15"/>
          <w:sz w:val="24"/>
          <w:szCs w:val="24"/>
          <w:lang w:val="ro-RO" w:eastAsia="x-none"/>
        </w:rPr>
        <w:t>Anexa 1. Grade de recomandare şi nivele ale dovezilor</w:t>
      </w:r>
      <w:bookmarkEnd w:id="145"/>
    </w:p>
    <w:p w:rsidR="002821B8" w:rsidRDefault="002821B8" w:rsidP="002821B8">
      <w:pPr>
        <w:tabs>
          <w:tab w:val="left" w:pos="7740"/>
        </w:tabs>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 xml:space="preserve">Tabelul </w:t>
      </w:r>
      <w:r w:rsidR="00955272">
        <w:rPr>
          <w:rFonts w:ascii="Times New Roman" w:eastAsia="Times New Roman" w:hAnsi="Times New Roman" w:cs="Times New Roman"/>
          <w:b/>
          <w:bCs/>
          <w:sz w:val="24"/>
          <w:szCs w:val="24"/>
          <w:lang w:val="ro-RO" w:eastAsia="ru-RU"/>
        </w:rPr>
        <w:t>18</w:t>
      </w:r>
      <w:r w:rsidRPr="002821B8">
        <w:rPr>
          <w:rFonts w:ascii="Times New Roman" w:eastAsia="Times New Roman" w:hAnsi="Times New Roman" w:cs="Times New Roman"/>
          <w:b/>
          <w:bCs/>
          <w:sz w:val="24"/>
          <w:szCs w:val="24"/>
          <w:lang w:val="ro-RO" w:eastAsia="ru-RU"/>
        </w:rPr>
        <w:t>. Notarea probelor utilizate (</w:t>
      </w:r>
      <w:r w:rsidRPr="002821B8">
        <w:rPr>
          <w:rFonts w:ascii="Times New Roman" w:eastAsia="Times New Roman" w:hAnsi="Times New Roman" w:cs="Times New Roman"/>
          <w:b/>
          <w:bCs/>
          <w:i/>
          <w:iCs/>
          <w:sz w:val="24"/>
          <w:szCs w:val="24"/>
          <w:lang w:val="ro-RO" w:eastAsia="ru-RU"/>
        </w:rPr>
        <w:t>adaptată din sistemul GRADE</w:t>
      </w:r>
      <w:r w:rsidRPr="002821B8">
        <w:rPr>
          <w:rFonts w:ascii="Times New Roman" w:eastAsia="Times New Roman" w:hAnsi="Times New Roman" w:cs="Times New Roman"/>
          <w:b/>
          <w:bCs/>
          <w:sz w:val="24"/>
          <w:szCs w:val="24"/>
          <w:lang w:val="ro-RO" w:eastAsia="ru-RU"/>
        </w:rPr>
        <w:t>).)</w:t>
      </w:r>
    </w:p>
    <w:p w:rsidR="002821B8" w:rsidRPr="002821B8" w:rsidRDefault="002821B8" w:rsidP="002821B8">
      <w:pPr>
        <w:tabs>
          <w:tab w:val="left" w:pos="7740"/>
        </w:tabs>
        <w:spacing w:after="0" w:line="240" w:lineRule="auto"/>
        <w:jc w:val="both"/>
        <w:rPr>
          <w:rFonts w:ascii="Times New Roman" w:eastAsia="Times New Roman" w:hAnsi="Times New Roman" w:cs="Times New Roman"/>
          <w:i/>
          <w:iCs/>
          <w:sz w:val="24"/>
          <w:szCs w:val="24"/>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5998"/>
        <w:gridCol w:w="969"/>
      </w:tblGrid>
      <w:tr w:rsidR="002821B8" w:rsidRPr="002821B8" w:rsidTr="001A14D9">
        <w:tc>
          <w:tcPr>
            <w:tcW w:w="2321"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Calitatea dovezilor</w:t>
            </w:r>
          </w:p>
        </w:tc>
        <w:tc>
          <w:tcPr>
            <w:tcW w:w="5998"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Note</w:t>
            </w:r>
          </w:p>
        </w:tc>
        <w:tc>
          <w:tcPr>
            <w:tcW w:w="969"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Nivel de notare</w:t>
            </w:r>
          </w:p>
        </w:tc>
      </w:tr>
      <w:tr w:rsidR="002821B8" w:rsidRPr="002821B8" w:rsidTr="001A14D9">
        <w:tc>
          <w:tcPr>
            <w:tcW w:w="2321"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Înalt</w:t>
            </w:r>
          </w:p>
        </w:tc>
        <w:tc>
          <w:tcPr>
            <w:tcW w:w="5998"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Este foarte puțin probabil ca cercetările ulterioare să ne schimbe încrederea în estimarea efectului</w:t>
            </w:r>
          </w:p>
        </w:tc>
        <w:tc>
          <w:tcPr>
            <w:tcW w:w="969"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w:t>
            </w:r>
          </w:p>
        </w:tc>
      </w:tr>
      <w:tr w:rsidR="002821B8" w:rsidRPr="002821B8" w:rsidTr="001A14D9">
        <w:tc>
          <w:tcPr>
            <w:tcW w:w="2321"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Moderat</w:t>
            </w:r>
          </w:p>
        </w:tc>
        <w:tc>
          <w:tcPr>
            <w:tcW w:w="5998"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Este posibil ca cercetările ulterioare să aibă un impact important asupra încrederii noastre în estimarea efectului și pot modifica estimarea</w:t>
            </w:r>
          </w:p>
        </w:tc>
        <w:tc>
          <w:tcPr>
            <w:tcW w:w="969"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B</w:t>
            </w:r>
          </w:p>
        </w:tc>
      </w:tr>
      <w:tr w:rsidR="002821B8" w:rsidRPr="002821B8" w:rsidTr="001A14D9">
        <w:tc>
          <w:tcPr>
            <w:tcW w:w="2321"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Scăzut </w:t>
            </w:r>
          </w:p>
        </w:tc>
        <w:tc>
          <w:tcPr>
            <w:tcW w:w="5998"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Cercetările ulterioare sunt foarte probabil să aibă un impact important asupra încrederii noastre în estimarea efectului și este probabil să schimbe estimarea. Orice modificare a estimării este incertă</w:t>
            </w:r>
          </w:p>
        </w:tc>
        <w:tc>
          <w:tcPr>
            <w:tcW w:w="969"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C</w:t>
            </w:r>
          </w:p>
        </w:tc>
      </w:tr>
      <w:tr w:rsidR="002821B8" w:rsidRPr="002821B8" w:rsidTr="001A14D9">
        <w:tc>
          <w:tcPr>
            <w:tcW w:w="2321" w:type="dxa"/>
            <w:shd w:val="clear" w:color="auto" w:fill="auto"/>
          </w:tcPr>
          <w:p w:rsidR="002821B8" w:rsidRPr="002821B8" w:rsidRDefault="002821B8" w:rsidP="002821B8">
            <w:pPr>
              <w:tabs>
                <w:tab w:val="left" w:pos="7740"/>
              </w:tabs>
              <w:spacing w:after="0" w:line="240" w:lineRule="auto"/>
              <w:ind w:right="678"/>
              <w:jc w:val="both"/>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Recomandare</w:t>
            </w:r>
          </w:p>
        </w:tc>
        <w:tc>
          <w:tcPr>
            <w:tcW w:w="5998"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Note</w:t>
            </w:r>
          </w:p>
        </w:tc>
        <w:tc>
          <w:tcPr>
            <w:tcW w:w="969"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Nivel de notare</w:t>
            </w:r>
          </w:p>
        </w:tc>
      </w:tr>
      <w:tr w:rsidR="002821B8" w:rsidRPr="002821B8" w:rsidTr="001A14D9">
        <w:tc>
          <w:tcPr>
            <w:tcW w:w="2321"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Puternic</w:t>
            </w:r>
          </w:p>
        </w:tc>
        <w:tc>
          <w:tcPr>
            <w:tcW w:w="5998"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Factorii care influențează puterea recomandării au inclus calitatea dovezilor, rezultatele presupuse importante pentru pacient și costul</w:t>
            </w:r>
          </w:p>
        </w:tc>
        <w:tc>
          <w:tcPr>
            <w:tcW w:w="969"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1</w:t>
            </w:r>
          </w:p>
        </w:tc>
      </w:tr>
      <w:tr w:rsidR="002821B8" w:rsidRPr="002821B8" w:rsidTr="001A14D9">
        <w:tc>
          <w:tcPr>
            <w:tcW w:w="2321"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Slab</w:t>
            </w:r>
          </w:p>
        </w:tc>
        <w:tc>
          <w:tcPr>
            <w:tcW w:w="5998"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Variabilitatea preferințelor și a valorilor sau mai multă incertitudine. Recomandarea se face cu mai puțină certitudine, costuri mai mari sau consum de resurse</w:t>
            </w:r>
          </w:p>
        </w:tc>
        <w:tc>
          <w:tcPr>
            <w:tcW w:w="969" w:type="dxa"/>
            <w:shd w:val="clear" w:color="auto" w:fill="auto"/>
          </w:tcPr>
          <w:p w:rsidR="002821B8" w:rsidRPr="002821B8" w:rsidRDefault="002821B8" w:rsidP="002821B8">
            <w:pPr>
              <w:tabs>
                <w:tab w:val="left" w:pos="7740"/>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2</w:t>
            </w:r>
          </w:p>
        </w:tc>
      </w:tr>
    </w:tbl>
    <w:p w:rsidR="002821B8" w:rsidRPr="002821B8" w:rsidRDefault="002821B8" w:rsidP="002821B8">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eastAsia="x-none"/>
        </w:rPr>
      </w:pPr>
      <w:bookmarkStart w:id="146" w:name="_Toc177994828"/>
      <w:r w:rsidRPr="002821B8">
        <w:rPr>
          <w:rFonts w:ascii="Times New Roman" w:eastAsia="Times New Roman" w:hAnsi="Times New Roman" w:cs="Times New Roman"/>
          <w:b/>
          <w:spacing w:val="15"/>
          <w:sz w:val="24"/>
          <w:szCs w:val="24"/>
          <w:lang w:val="ro-RO" w:eastAsia="x-none"/>
        </w:rPr>
        <w:t>Anexa 2. Ghidul pacientului</w:t>
      </w:r>
      <w:bookmarkEnd w:id="146"/>
    </w:p>
    <w:p w:rsidR="002821B8" w:rsidRPr="002821B8" w:rsidRDefault="002821B8" w:rsidP="002821B8">
      <w:pPr>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 xml:space="preserve">Tabelul </w:t>
      </w:r>
      <w:r w:rsidR="00955272">
        <w:rPr>
          <w:rFonts w:ascii="Times New Roman" w:eastAsia="Times New Roman" w:hAnsi="Times New Roman" w:cs="Times New Roman"/>
          <w:b/>
          <w:bCs/>
          <w:sz w:val="24"/>
          <w:szCs w:val="24"/>
          <w:lang w:val="ro-RO" w:eastAsia="ru-RU"/>
        </w:rPr>
        <w:t>19</w:t>
      </w:r>
      <w:r w:rsidRPr="002821B8">
        <w:rPr>
          <w:rFonts w:ascii="Times New Roman" w:eastAsia="Times New Roman" w:hAnsi="Times New Roman" w:cs="Times New Roman"/>
          <w:b/>
          <w:bCs/>
          <w:sz w:val="24"/>
          <w:szCs w:val="24"/>
          <w:lang w:val="ro-RO" w:eastAsia="ru-RU"/>
        </w:rPr>
        <w:t xml:space="preserve">. Consiliere PRE-testare și POST-testare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821B8" w:rsidRPr="00D645AA" w:rsidTr="002821B8">
        <w:tc>
          <w:tcPr>
            <w:tcW w:w="9322" w:type="dxa"/>
            <w:shd w:val="clear" w:color="auto" w:fill="auto"/>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iCs/>
                <w:sz w:val="24"/>
                <w:szCs w:val="24"/>
                <w:lang w:val="ro-RO" w:eastAsia="ru-RU"/>
              </w:rPr>
              <w:t>Consimţămȃnt.</w:t>
            </w:r>
            <w:r w:rsidRPr="002821B8">
              <w:rPr>
                <w:rFonts w:ascii="Times New Roman" w:eastAsia="Times New Roman" w:hAnsi="Times New Roman" w:cs="Times New Roman"/>
                <w:sz w:val="24"/>
                <w:szCs w:val="24"/>
                <w:lang w:val="ro-RO" w:eastAsia="ru-RU"/>
              </w:rPr>
              <w:t xml:space="preserve"> Persoanele care sunt testate pentru hepatită virală C trebuie să dea consimțământul informat pentru a fi testate și consiliate. Consimțământul verbal este suficient. Trebuie informați despre procesul de testare și despre dreptul lor de a refuza. Furnizarea de informații despre testare și necesitatea consimțământului poate fi livrată într-un cadru de grup, cum ar fi educația pentru sănătate în grup, dar pacienții trebuie să dea consimțământul în mod individual și privat. Personalul medical trebuie să explice cu atenție modul în care o persoană poate refuza testarea și să se asigure că nimeni nu-i constrânge să fie testați și fiecare persoană are o oportunitate privată de a renunța la testare.</w:t>
            </w:r>
          </w:p>
        </w:tc>
      </w:tr>
      <w:tr w:rsidR="002821B8" w:rsidRPr="00D645AA" w:rsidTr="002821B8">
        <w:tc>
          <w:tcPr>
            <w:tcW w:w="9322" w:type="dxa"/>
            <w:shd w:val="clear" w:color="auto" w:fill="auto"/>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i/>
                <w:iCs/>
                <w:sz w:val="24"/>
                <w:szCs w:val="24"/>
                <w:lang w:val="ro-RO" w:eastAsia="ru-RU"/>
              </w:rPr>
              <w:t>Confidențialitate</w:t>
            </w:r>
            <w:r w:rsidRPr="002821B8">
              <w:rPr>
                <w:rFonts w:ascii="Times New Roman" w:eastAsia="Times New Roman" w:hAnsi="Times New Roman" w:cs="Times New Roman"/>
                <w:b/>
                <w:sz w:val="24"/>
                <w:szCs w:val="24"/>
                <w:lang w:val="ro-RO" w:eastAsia="ru-RU"/>
              </w:rPr>
              <w:t xml:space="preserve"> </w:t>
            </w:r>
            <w:r w:rsidRPr="002821B8">
              <w:rPr>
                <w:rFonts w:ascii="Times New Roman" w:eastAsia="Times New Roman" w:hAnsi="Times New Roman" w:cs="Times New Roman"/>
                <w:sz w:val="24"/>
                <w:szCs w:val="24"/>
                <w:lang w:val="ro-RO" w:eastAsia="ru-RU"/>
              </w:rPr>
              <w:t xml:space="preserve">- asigurarea unor condiții confidențiale. Testarea trebuie să fie confidențială, ceea ce înseamnă că rezultatele nu vor fi dezvăluite nimănui fără acordul expres al persoanei testate. Confidențialitatea se aplică nu numai rezultatelor testelor și raportului privind starea hepatitei, ci și oricăror informații personale, cum ar fi informații privind comportamentul sexual și utilizarea drogurilor ilegale. </w:t>
            </w:r>
          </w:p>
        </w:tc>
      </w:tr>
      <w:tr w:rsidR="002821B8" w:rsidRPr="00D645AA" w:rsidTr="002821B8">
        <w:tc>
          <w:tcPr>
            <w:tcW w:w="9322" w:type="dxa"/>
            <w:shd w:val="clear" w:color="auto" w:fill="auto"/>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i/>
                <w:iCs/>
                <w:sz w:val="24"/>
                <w:szCs w:val="24"/>
                <w:lang w:val="ro-RO" w:eastAsia="ru-RU"/>
              </w:rPr>
              <w:t>Consiliere</w:t>
            </w:r>
            <w:r w:rsidRPr="002821B8">
              <w:rPr>
                <w:rFonts w:ascii="Times New Roman" w:eastAsia="Times New Roman" w:hAnsi="Times New Roman" w:cs="Times New Roman"/>
                <w:sz w:val="24"/>
                <w:szCs w:val="24"/>
                <w:lang w:val="ro-RO" w:eastAsia="ru-RU"/>
              </w:rPr>
              <w:t>. Informațiile pre-test pot fi furnizate într-un set de grup, dar toate persoanele trebuie să aibă posibilitatea de a pune întrebări într-un cadru privat, dacă solicită acest lucru. Toate testele de hepatită trebuie să fie însoțite de consiliere adecvată post-test, pe baza rezultatului specific al testului de hepatită și a stării hepatitei raportate. Mecanismele de evaluare a calității, precum și supravegherea și sistemele de îndrumare trebuie să fie instituite pentru a asigura furnizarea de calitate superioară.</w:t>
            </w:r>
          </w:p>
        </w:tc>
      </w:tr>
      <w:tr w:rsidR="002821B8" w:rsidRPr="00D645AA" w:rsidTr="002821B8">
        <w:tc>
          <w:tcPr>
            <w:tcW w:w="9322" w:type="dxa"/>
            <w:shd w:val="clear" w:color="auto" w:fill="auto"/>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i/>
                <w:iCs/>
                <w:sz w:val="24"/>
                <w:szCs w:val="24"/>
                <w:lang w:val="ro-RO" w:eastAsia="ru-RU"/>
              </w:rPr>
              <w:t>Corectitudine</w:t>
            </w:r>
            <w:r w:rsidRPr="002821B8">
              <w:rPr>
                <w:rFonts w:ascii="Times New Roman" w:eastAsia="Times New Roman" w:hAnsi="Times New Roman" w:cs="Times New Roman"/>
                <w:i/>
                <w:iCs/>
                <w:sz w:val="24"/>
                <w:szCs w:val="24"/>
                <w:lang w:val="ro-RO" w:eastAsia="ru-RU"/>
              </w:rPr>
              <w:t>.</w:t>
            </w:r>
            <w:r w:rsidRPr="002821B8">
              <w:rPr>
                <w:rFonts w:ascii="Times New Roman" w:eastAsia="Times New Roman" w:hAnsi="Times New Roman" w:cs="Times New Roman"/>
                <w:sz w:val="24"/>
                <w:szCs w:val="24"/>
                <w:lang w:val="ro-RO" w:eastAsia="ru-RU"/>
              </w:rPr>
              <w:t xml:space="preserve"> Oferirea unor servicii de testare de înaltă calitate, iar mecanismele de evaluare </w:t>
            </w:r>
            <w:r w:rsidRPr="002821B8">
              <w:rPr>
                <w:rFonts w:ascii="Times New Roman" w:eastAsia="Times New Roman" w:hAnsi="Times New Roman" w:cs="Times New Roman"/>
                <w:sz w:val="24"/>
                <w:szCs w:val="24"/>
                <w:lang w:val="ro-RO" w:eastAsia="ru-RU"/>
              </w:rPr>
              <w:lastRenderedPageBreak/>
              <w:t>a calității trebuie să asigure că persoanele primesc un diagnostic corect. Toate persoanele la care s-a stabilit un diagnostic serologic pozitiv pentru anticorpii anti-HCV trebuie să aibă o cercetare a ARN-HCV, prin reacție de polimerizare în lanț pentru a confirma prezența infecției virale și a evalua indicațiile lor de îngrijire și tratament înainte de inițierea terapiei antivirale.</w:t>
            </w:r>
          </w:p>
        </w:tc>
      </w:tr>
      <w:tr w:rsidR="002821B8" w:rsidRPr="00D645AA" w:rsidTr="002821B8">
        <w:tc>
          <w:tcPr>
            <w:tcW w:w="9322" w:type="dxa"/>
            <w:shd w:val="clear" w:color="auto" w:fill="auto"/>
          </w:tcPr>
          <w:p w:rsidR="002821B8" w:rsidRPr="002821B8" w:rsidRDefault="002821B8" w:rsidP="002821B8">
            <w:pPr>
              <w:spacing w:after="0" w:line="240" w:lineRule="auto"/>
              <w:jc w:val="both"/>
              <w:rPr>
                <w:rFonts w:ascii="Times New Roman" w:eastAsia="Times New Roman" w:hAnsi="Times New Roman" w:cs="Times New Roman"/>
                <w:b/>
                <w:i/>
                <w:iCs/>
                <w:sz w:val="24"/>
                <w:szCs w:val="24"/>
                <w:lang w:val="ro-RO" w:eastAsia="ru-RU"/>
              </w:rPr>
            </w:pPr>
            <w:r w:rsidRPr="002821B8">
              <w:rPr>
                <w:rFonts w:ascii="Times New Roman" w:eastAsia="Times New Roman" w:hAnsi="Times New Roman" w:cs="Times New Roman"/>
                <w:b/>
                <w:i/>
                <w:iCs/>
                <w:sz w:val="24"/>
                <w:szCs w:val="24"/>
                <w:lang w:val="ro-RO" w:eastAsia="ru-RU"/>
              </w:rPr>
              <w:lastRenderedPageBreak/>
              <w:t>Conexiune</w:t>
            </w:r>
            <w:r w:rsidRPr="002821B8">
              <w:rPr>
                <w:rFonts w:ascii="Times New Roman" w:eastAsia="Times New Roman" w:hAnsi="Times New Roman" w:cs="Times New Roman"/>
                <w:i/>
                <w:iCs/>
                <w:sz w:val="24"/>
                <w:szCs w:val="24"/>
                <w:lang w:val="ro-RO" w:eastAsia="ru-RU"/>
              </w:rPr>
              <w:t>.</w:t>
            </w:r>
            <w:r w:rsidRPr="002821B8">
              <w:rPr>
                <w:rFonts w:ascii="Times New Roman" w:eastAsia="Times New Roman" w:hAnsi="Times New Roman" w:cs="Times New Roman"/>
                <w:sz w:val="24"/>
                <w:szCs w:val="24"/>
                <w:lang w:val="ro-RO" w:eastAsia="ru-RU"/>
              </w:rPr>
              <w:t xml:space="preserve"> Legătura cu serviciile de prevenire, tratament și îngrijire trebuie să includă urmărirea eficientă și adecvată, inclusiv prevenirea pe termen lung și sprijinul tratamentului persoanelor cu boli hepatice determinate de infectia cu VHC. Asigurarea testării hepatitei virale în cazul în care nu există acces la îngrijiri sau o legătură slabă la îngrijire și tratament, are un beneficiu limitat pentru cei cu hepatită.</w:t>
            </w:r>
          </w:p>
        </w:tc>
      </w:tr>
    </w:tbl>
    <w:p w:rsidR="002821B8" w:rsidRPr="002821B8" w:rsidRDefault="002821B8" w:rsidP="002821B8">
      <w:pPr>
        <w:spacing w:after="0" w:line="240" w:lineRule="auto"/>
        <w:jc w:val="both"/>
        <w:rPr>
          <w:rFonts w:ascii="Times New Roman" w:eastAsia="Times New Roman" w:hAnsi="Times New Roman" w:cs="Times New Roman"/>
          <w:b/>
          <w:bCs/>
          <w:sz w:val="24"/>
          <w:szCs w:val="24"/>
          <w:lang w:val="ro-RO" w:eastAsia="ru-RU"/>
        </w:rPr>
      </w:pP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sz w:val="24"/>
          <w:szCs w:val="24"/>
          <w:lang w:val="ro-RO" w:eastAsia="ru-RU"/>
        </w:rPr>
        <w:t>Tabelul 2</w:t>
      </w:r>
      <w:r w:rsidR="00955272">
        <w:rPr>
          <w:rFonts w:ascii="Times New Roman" w:eastAsia="Times New Roman" w:hAnsi="Times New Roman" w:cs="Times New Roman"/>
          <w:b/>
          <w:bCs/>
          <w:sz w:val="24"/>
          <w:szCs w:val="24"/>
          <w:lang w:val="ro-RO" w:eastAsia="ru-RU"/>
        </w:rPr>
        <w:t>0</w:t>
      </w:r>
      <w:r w:rsidRPr="002821B8">
        <w:rPr>
          <w:rFonts w:ascii="Times New Roman" w:eastAsia="Times New Roman" w:hAnsi="Times New Roman" w:cs="Times New Roman"/>
          <w:b/>
          <w:bCs/>
          <w:sz w:val="24"/>
          <w:szCs w:val="24"/>
          <w:lang w:val="ro-RO" w:eastAsia="ru-RU"/>
        </w:rPr>
        <w:t xml:space="preserve">. Consilierea pacienților cu infecție cronică cu virusul hepatitei C </w:t>
      </w:r>
      <w:r w:rsidRPr="002821B8">
        <w:rPr>
          <w:rFonts w:ascii="Times New Roman" w:eastAsia="Times New Roman" w:hAnsi="Times New Roman" w:cs="Times New Roman"/>
          <w:sz w:val="24"/>
          <w:szCs w:val="24"/>
          <w:lang w:val="ro-RO" w:eastAsia="ru-RU"/>
        </w:rPr>
        <w:t>[30]</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821B8" w:rsidRPr="00D645AA" w:rsidTr="003C1EBC">
        <w:tc>
          <w:tcPr>
            <w:tcW w:w="9833" w:type="dxa"/>
            <w:shd w:val="clear" w:color="auto" w:fill="auto"/>
          </w:tcPr>
          <w:p w:rsidR="002821B8" w:rsidRPr="002821B8" w:rsidRDefault="002821B8" w:rsidP="00D8290E">
            <w:pPr>
              <w:numPr>
                <w:ilvl w:val="0"/>
                <w:numId w:val="127"/>
              </w:numPr>
              <w:spacing w:before="100" w:after="0" w:line="240" w:lineRule="auto"/>
              <w:rPr>
                <w:rFonts w:ascii="Times New Roman" w:eastAsia="Times New Roman" w:hAnsi="Times New Roman" w:cs="Times New Roman"/>
                <w:bCs/>
                <w:sz w:val="24"/>
                <w:szCs w:val="24"/>
                <w:lang w:val="ro-RO"/>
              </w:rPr>
            </w:pPr>
            <w:r w:rsidRPr="002821B8">
              <w:rPr>
                <w:rFonts w:ascii="Times New Roman" w:eastAsia="Times New Roman" w:hAnsi="Times New Roman" w:cs="Times New Roman"/>
                <w:bCs/>
                <w:sz w:val="24"/>
                <w:szCs w:val="24"/>
                <w:lang w:val="ro-RO"/>
              </w:rPr>
              <w:t>Persoanele cu infecție cronică cu VHC fără ciroză pot lua până la 2 grame pe zi de acetaminophen, dar persoanele cu ciroză trebuie să limiteze aportul zilnic de acetaminophen la 1 gram pe zi. Cei cu consum excesiv de alcool nu trebuie să ia acetaminophen.</w:t>
            </w:r>
          </w:p>
          <w:p w:rsidR="002821B8" w:rsidRPr="002821B8" w:rsidRDefault="002821B8" w:rsidP="00D8290E">
            <w:pPr>
              <w:numPr>
                <w:ilvl w:val="0"/>
                <w:numId w:val="127"/>
              </w:numPr>
              <w:spacing w:before="100" w:after="0" w:line="240" w:lineRule="auto"/>
              <w:rPr>
                <w:rFonts w:ascii="Times New Roman" w:eastAsia="Times New Roman" w:hAnsi="Times New Roman" w:cs="Times New Roman"/>
                <w:bCs/>
                <w:sz w:val="24"/>
                <w:szCs w:val="24"/>
                <w:lang w:val="ro-RO"/>
              </w:rPr>
            </w:pPr>
            <w:r w:rsidRPr="002821B8">
              <w:rPr>
                <w:rFonts w:ascii="Times New Roman" w:eastAsia="Times New Roman" w:hAnsi="Times New Roman" w:cs="Times New Roman"/>
                <w:bCs/>
                <w:sz w:val="24"/>
                <w:szCs w:val="24"/>
                <w:lang w:val="ro-RO"/>
              </w:rPr>
              <w:t>În general, AINS sunt sigure pentru persoanele cu hepatită virală C cronică, cu excepția celor cu ciroză, caz în care trebuie evitate.</w:t>
            </w:r>
          </w:p>
          <w:p w:rsidR="002821B8" w:rsidRPr="002821B8" w:rsidRDefault="002821B8" w:rsidP="00D8290E">
            <w:pPr>
              <w:numPr>
                <w:ilvl w:val="0"/>
                <w:numId w:val="127"/>
              </w:numPr>
              <w:spacing w:before="100" w:after="0" w:line="240" w:lineRule="auto"/>
              <w:rPr>
                <w:rFonts w:ascii="Times New Roman" w:eastAsia="Times New Roman" w:hAnsi="Times New Roman" w:cs="Times New Roman"/>
                <w:bCs/>
                <w:sz w:val="24"/>
                <w:szCs w:val="24"/>
                <w:lang w:val="ro-RO"/>
              </w:rPr>
            </w:pPr>
            <w:r w:rsidRPr="002821B8">
              <w:rPr>
                <w:rFonts w:ascii="Times New Roman" w:eastAsia="Times New Roman" w:hAnsi="Times New Roman" w:cs="Times New Roman"/>
                <w:bCs/>
                <w:sz w:val="24"/>
                <w:szCs w:val="24"/>
                <w:lang w:val="ro-RO"/>
              </w:rPr>
              <w:t>Persoanele cu hepatită virală C cronică pot lua multivitamine fără fier, dar aportul excesiv de fier în absenta deficientei de fier poate favoriza leziuni hepatice.</w:t>
            </w:r>
          </w:p>
          <w:p w:rsidR="002821B8" w:rsidRPr="002821B8" w:rsidRDefault="002821B8" w:rsidP="00D8290E">
            <w:pPr>
              <w:numPr>
                <w:ilvl w:val="0"/>
                <w:numId w:val="127"/>
              </w:numPr>
              <w:spacing w:before="100" w:after="0" w:line="240" w:lineRule="auto"/>
              <w:rPr>
                <w:rFonts w:ascii="Times New Roman" w:eastAsia="Times New Roman" w:hAnsi="Times New Roman" w:cs="Times New Roman"/>
                <w:bCs/>
                <w:sz w:val="24"/>
                <w:szCs w:val="24"/>
                <w:lang w:val="ro-RO"/>
              </w:rPr>
            </w:pPr>
            <w:r w:rsidRPr="002821B8">
              <w:rPr>
                <w:rFonts w:ascii="Times New Roman" w:eastAsia="Times New Roman" w:hAnsi="Times New Roman" w:cs="Times New Roman"/>
                <w:bCs/>
                <w:sz w:val="24"/>
                <w:szCs w:val="24"/>
                <w:lang w:val="ro-RO"/>
              </w:rPr>
              <w:t>Nivelurile de vitamina D trebuie verificate și dacă valoarea este mai mică de 20 ng/ml trebuie de administrat suplimente de vitamina D.</w:t>
            </w:r>
          </w:p>
          <w:p w:rsidR="002821B8" w:rsidRPr="002821B8" w:rsidRDefault="002821B8" w:rsidP="00D8290E">
            <w:pPr>
              <w:numPr>
                <w:ilvl w:val="0"/>
                <w:numId w:val="127"/>
              </w:numPr>
              <w:spacing w:before="100" w:after="0" w:line="240" w:lineRule="auto"/>
              <w:rPr>
                <w:rFonts w:ascii="Times New Roman" w:eastAsia="Times New Roman" w:hAnsi="Times New Roman" w:cs="Times New Roman"/>
                <w:bCs/>
                <w:sz w:val="24"/>
                <w:szCs w:val="24"/>
                <w:lang w:val="ro-RO"/>
              </w:rPr>
            </w:pPr>
            <w:r w:rsidRPr="002821B8">
              <w:rPr>
                <w:rFonts w:ascii="Times New Roman" w:eastAsia="Times New Roman" w:hAnsi="Times New Roman" w:cs="Times New Roman"/>
                <w:bCs/>
                <w:sz w:val="24"/>
                <w:szCs w:val="24"/>
                <w:lang w:val="ro-RO"/>
              </w:rPr>
              <w:t>Niciun medicament complementar sau alternativ nu a demonstrat un beneficiu cert pentru persoanele cu VHC. Sunătoarea trebuie evitată la persoanele care primesc tratament pentru VHC, având în vedere potențialul său de a interacționa cu medicamentele DAA.</w:t>
            </w:r>
          </w:p>
          <w:p w:rsidR="002821B8" w:rsidRPr="002821B8" w:rsidRDefault="002821B8" w:rsidP="00D8290E">
            <w:pPr>
              <w:numPr>
                <w:ilvl w:val="0"/>
                <w:numId w:val="127"/>
              </w:numPr>
              <w:spacing w:before="100" w:after="0" w:line="240" w:lineRule="auto"/>
              <w:rPr>
                <w:rFonts w:ascii="Times New Roman" w:eastAsia="Times New Roman" w:hAnsi="Times New Roman" w:cs="Times New Roman"/>
                <w:bCs/>
                <w:sz w:val="24"/>
                <w:szCs w:val="24"/>
                <w:lang w:val="ro-RO"/>
              </w:rPr>
            </w:pPr>
            <w:r w:rsidRPr="002821B8">
              <w:rPr>
                <w:rFonts w:ascii="Times New Roman" w:eastAsia="Times New Roman" w:hAnsi="Times New Roman" w:cs="Times New Roman"/>
                <w:bCs/>
                <w:sz w:val="24"/>
                <w:szCs w:val="24"/>
                <w:lang w:val="ro-RO"/>
              </w:rPr>
              <w:t>Consumul a 3 sau mai multe cești de cafea pe zi poate avea efecte benefice pentru ficat.</w:t>
            </w:r>
          </w:p>
          <w:p w:rsidR="002821B8" w:rsidRPr="002821B8" w:rsidRDefault="002821B8" w:rsidP="00D8290E">
            <w:pPr>
              <w:numPr>
                <w:ilvl w:val="0"/>
                <w:numId w:val="127"/>
              </w:numPr>
              <w:spacing w:before="100" w:after="0" w:line="240" w:lineRule="auto"/>
              <w:rPr>
                <w:rFonts w:ascii="Times New Roman" w:eastAsia="Times New Roman" w:hAnsi="Times New Roman" w:cs="Times New Roman"/>
                <w:bCs/>
                <w:sz w:val="24"/>
                <w:szCs w:val="24"/>
                <w:lang w:val="ro-RO"/>
              </w:rPr>
            </w:pPr>
            <w:r w:rsidRPr="002821B8">
              <w:rPr>
                <w:rFonts w:ascii="Times New Roman" w:eastAsia="Times New Roman" w:hAnsi="Times New Roman" w:cs="Times New Roman"/>
                <w:bCs/>
                <w:sz w:val="24"/>
                <w:szCs w:val="24"/>
                <w:lang w:val="ro-RO"/>
              </w:rPr>
              <w:t>Se recomandă o dietă echilibrată, cu conținut scăzut de grăsimi (mai puțin de 30% din caloriile totale). Persoanele cu ciroză trebuie să limiteze aportul de sodiu la mai puțin de 2 grame pe zi și să consume cel puțin 1,2 până la 1,5 grame de proteine ​​pe kilogram pe zi.</w:t>
            </w:r>
          </w:p>
          <w:p w:rsidR="002821B8" w:rsidRPr="002821B8" w:rsidRDefault="002821B8" w:rsidP="00D8290E">
            <w:pPr>
              <w:numPr>
                <w:ilvl w:val="0"/>
                <w:numId w:val="127"/>
              </w:numPr>
              <w:spacing w:before="100" w:after="0" w:line="240" w:lineRule="auto"/>
              <w:rPr>
                <w:rFonts w:ascii="Times New Roman" w:eastAsia="Times New Roman" w:hAnsi="Times New Roman" w:cs="Times New Roman"/>
                <w:bCs/>
                <w:sz w:val="24"/>
                <w:szCs w:val="24"/>
                <w:lang w:val="ro-RO"/>
              </w:rPr>
            </w:pPr>
            <w:r w:rsidRPr="002821B8">
              <w:rPr>
                <w:rFonts w:ascii="Times New Roman" w:eastAsia="Times New Roman" w:hAnsi="Times New Roman" w:cs="Times New Roman"/>
                <w:bCs/>
                <w:sz w:val="24"/>
                <w:szCs w:val="24"/>
                <w:lang w:val="ro-RO"/>
              </w:rPr>
              <w:t>Persoanele obeze sunt încurajate să piardă cel puțin 3 până la 5% din greutatea corporală, cu un indice de masă corporală obiectiv mai mic de 25, în primul rând pentru a reduce riscul de apariție a bolii ficatului gras, dar și pentru beneficii generale pentru sănătate.</w:t>
            </w:r>
          </w:p>
          <w:p w:rsidR="002821B8" w:rsidRPr="002821B8" w:rsidRDefault="002821B8" w:rsidP="00D8290E">
            <w:pPr>
              <w:numPr>
                <w:ilvl w:val="0"/>
                <w:numId w:val="127"/>
              </w:numPr>
              <w:spacing w:before="100"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Cs/>
                <w:sz w:val="24"/>
                <w:szCs w:val="24"/>
                <w:lang w:val="ro-RO"/>
              </w:rPr>
              <w:t>În mod ideal, persoanele cu infecție cronică cu VHC trebuie să se abțină de la alcool pentru sănătatea ficatului, dar persoanele care au consumat alcool în trecut sau în prezent nu trebuie excluse de la luarea în c</w:t>
            </w:r>
            <w:r w:rsidRPr="002821B8">
              <w:rPr>
                <w:rFonts w:ascii="Times New Roman" w:eastAsia="Times New Roman" w:hAnsi="Times New Roman" w:cs="Times New Roman"/>
                <w:sz w:val="24"/>
                <w:szCs w:val="24"/>
                <w:lang w:val="ro-RO" w:eastAsia="ru-RU"/>
              </w:rPr>
              <w:t>onsiderare a tratamentului împotriva VHC.</w:t>
            </w:r>
          </w:p>
        </w:tc>
      </w:tr>
    </w:tbl>
    <w:p w:rsidR="009D6E9F" w:rsidRDefault="009D6E9F" w:rsidP="002821B8">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rPr>
      </w:pPr>
      <w:bookmarkStart w:id="147" w:name="_Toc177994829"/>
      <w:bookmarkStart w:id="148" w:name="_Toc205889037"/>
      <w:bookmarkStart w:id="149" w:name="_Toc331523479"/>
      <w:bookmarkStart w:id="150" w:name="_Toc331526287"/>
      <w:bookmarkStart w:id="151" w:name="_Toc331526454"/>
      <w:bookmarkEnd w:id="141"/>
      <w:bookmarkEnd w:id="142"/>
      <w:bookmarkEnd w:id="143"/>
      <w:bookmarkEnd w:id="144"/>
    </w:p>
    <w:p w:rsidR="001A14D9" w:rsidRDefault="001A14D9" w:rsidP="002821B8">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rPr>
      </w:pPr>
    </w:p>
    <w:p w:rsidR="001A14D9" w:rsidRDefault="001A14D9" w:rsidP="002821B8">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rPr>
      </w:pPr>
    </w:p>
    <w:p w:rsidR="001A14D9" w:rsidRDefault="001A14D9" w:rsidP="002821B8">
      <w:pPr>
        <w:pBdr>
          <w:top w:val="single" w:sz="24" w:space="0" w:color="FFFFFF"/>
          <w:left w:val="single" w:sz="24" w:space="0" w:color="FFFFFF"/>
          <w:bottom w:val="single" w:sz="24" w:space="0" w:color="FFFFFF"/>
          <w:right w:val="single" w:sz="24" w:space="0" w:color="FFFFFF"/>
        </w:pBdr>
        <w:tabs>
          <w:tab w:val="right" w:leader="dot" w:pos="9016"/>
        </w:tabs>
        <w:spacing w:before="120" w:after="0"/>
        <w:outlineLvl w:val="1"/>
        <w:rPr>
          <w:rFonts w:ascii="Times New Roman" w:eastAsia="Times New Roman" w:hAnsi="Times New Roman" w:cs="Times New Roman"/>
          <w:b/>
          <w:spacing w:val="15"/>
          <w:sz w:val="24"/>
          <w:szCs w:val="24"/>
          <w:lang w:val="ro-RO"/>
        </w:rPr>
      </w:pPr>
    </w:p>
    <w:p w:rsidR="002821B8" w:rsidRPr="002821B8" w:rsidRDefault="002821B8" w:rsidP="001A14D9">
      <w:pPr>
        <w:pBdr>
          <w:top w:val="single" w:sz="24" w:space="0" w:color="FFFFFF"/>
          <w:left w:val="single" w:sz="24" w:space="0" w:color="FFFFFF"/>
          <w:bottom w:val="single" w:sz="24" w:space="0" w:color="FFFFFF"/>
          <w:right w:val="single" w:sz="24" w:space="0" w:color="FFFFFF"/>
        </w:pBdr>
        <w:tabs>
          <w:tab w:val="right" w:leader="dot" w:pos="9016"/>
        </w:tabs>
        <w:spacing w:before="120" w:after="0"/>
        <w:jc w:val="both"/>
        <w:outlineLvl w:val="1"/>
        <w:rPr>
          <w:rFonts w:ascii="Times New Roman" w:eastAsia="Times New Roman" w:hAnsi="Times New Roman" w:cs="Times New Roman"/>
          <w:b/>
          <w:spacing w:val="15"/>
          <w:sz w:val="24"/>
          <w:szCs w:val="24"/>
          <w:lang w:val="ro-RO" w:eastAsia="x-none"/>
        </w:rPr>
      </w:pPr>
      <w:r w:rsidRPr="002821B8">
        <w:rPr>
          <w:rFonts w:ascii="Times New Roman" w:eastAsia="Times New Roman" w:hAnsi="Times New Roman" w:cs="Times New Roman"/>
          <w:b/>
          <w:spacing w:val="15"/>
          <w:sz w:val="24"/>
          <w:szCs w:val="24"/>
          <w:lang w:val="ro-RO"/>
        </w:rPr>
        <w:lastRenderedPageBreak/>
        <w:t xml:space="preserve">Anexa 3. </w:t>
      </w:r>
      <w:r w:rsidRPr="002821B8">
        <w:rPr>
          <w:rFonts w:ascii="Times New Roman" w:eastAsia="Times New Roman" w:hAnsi="Times New Roman" w:cs="Times New Roman"/>
          <w:b/>
          <w:spacing w:val="15"/>
          <w:sz w:val="24"/>
          <w:szCs w:val="24"/>
          <w:lang w:val="ro-RO" w:eastAsia="x-none"/>
        </w:rPr>
        <w:t>Evaluarea interacțiunilor medicamentoase înainte de inițierea terapiei antivirale</w:t>
      </w:r>
      <w:bookmarkEnd w:id="147"/>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[16, 27, 51]</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iCs/>
          <w:sz w:val="24"/>
          <w:szCs w:val="24"/>
          <w:lang w:val="ro-RO" w:eastAsia="ru-RU"/>
        </w:rPr>
        <w:t>Tabelul 2</w:t>
      </w:r>
      <w:r w:rsidR="00955272">
        <w:rPr>
          <w:rFonts w:ascii="Times New Roman" w:eastAsia="Times New Roman" w:hAnsi="Times New Roman" w:cs="Times New Roman"/>
          <w:b/>
          <w:iCs/>
          <w:sz w:val="24"/>
          <w:szCs w:val="24"/>
          <w:lang w:val="ro-RO" w:eastAsia="ru-RU"/>
        </w:rPr>
        <w:t>1</w:t>
      </w:r>
      <w:r w:rsidRPr="002821B8">
        <w:rPr>
          <w:rFonts w:ascii="Times New Roman" w:eastAsia="Times New Roman" w:hAnsi="Times New Roman" w:cs="Times New Roman"/>
          <w:b/>
          <w:iCs/>
          <w:sz w:val="24"/>
          <w:szCs w:val="24"/>
          <w:lang w:val="ro-RO" w:eastAsia="ru-RU"/>
        </w:rPr>
        <w:t>.</w:t>
      </w:r>
      <w:r w:rsidRPr="002821B8">
        <w:rPr>
          <w:rFonts w:ascii="Times New Roman" w:eastAsia="Times New Roman" w:hAnsi="Times New Roman" w:cs="Times New Roman"/>
          <w:sz w:val="24"/>
          <w:szCs w:val="24"/>
          <w:lang w:val="ro-RO" w:eastAsia="ru-RU"/>
        </w:rPr>
        <w:t xml:space="preserve"> </w:t>
      </w:r>
      <w:r w:rsidRPr="002821B8">
        <w:rPr>
          <w:rFonts w:ascii="Times New Roman" w:eastAsia="Times New Roman" w:hAnsi="Times New Roman" w:cs="Times New Roman"/>
          <w:b/>
          <w:bCs/>
          <w:sz w:val="24"/>
          <w:szCs w:val="24"/>
          <w:lang w:val="ro-RO" w:eastAsia="ru-RU"/>
        </w:rPr>
        <w:t xml:space="preserve">Interacțiuni medicamentoase între </w:t>
      </w:r>
      <w:r w:rsidRPr="002821B8">
        <w:rPr>
          <w:rFonts w:ascii="Times New Roman" w:eastAsia="Times New Roman" w:hAnsi="Times New Roman" w:cs="Times New Roman"/>
          <w:b/>
          <w:bCs/>
          <w:iCs/>
          <w:sz w:val="24"/>
          <w:szCs w:val="24"/>
          <w:lang w:val="ro-RO" w:eastAsia="ru-RU"/>
        </w:rPr>
        <w:t xml:space="preserve">medicamentele antivirale cu acțiune directă (DAAs) </w:t>
      </w:r>
      <w:r w:rsidRPr="002821B8">
        <w:rPr>
          <w:rFonts w:ascii="Times New Roman" w:eastAsia="Times New Roman" w:hAnsi="Times New Roman" w:cs="Times New Roman"/>
          <w:b/>
          <w:bCs/>
          <w:color w:val="232323"/>
          <w:sz w:val="24"/>
          <w:szCs w:val="24"/>
          <w:lang w:val="ro-RO" w:eastAsia="ru-RU"/>
        </w:rPr>
        <w:t xml:space="preserve">pentru infecția cu virusul hepatitei C (VHC) </w:t>
      </w:r>
      <w:r w:rsidRPr="002821B8">
        <w:rPr>
          <w:rFonts w:ascii="Times New Roman" w:eastAsia="Times New Roman" w:hAnsi="Times New Roman" w:cs="Times New Roman"/>
          <w:b/>
          <w:bCs/>
          <w:sz w:val="24"/>
          <w:szCs w:val="24"/>
          <w:lang w:val="ro-RO" w:eastAsia="ru-RU"/>
        </w:rPr>
        <w:t>și medicamentele antiretrovirale</w:t>
      </w:r>
      <w:r w:rsidRPr="002821B8">
        <w:rPr>
          <w:rFonts w:ascii="Times New Roman" w:eastAsia="Times New Roman" w:hAnsi="Times New Roman" w:cs="Times New Roman"/>
          <w:sz w:val="24"/>
          <w:szCs w:val="24"/>
          <w:lang w:val="ro-RO" w:eastAsia="ru-RU"/>
        </w:rPr>
        <w:t xml:space="preserve"> </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890"/>
        <w:gridCol w:w="785"/>
        <w:gridCol w:w="905"/>
        <w:gridCol w:w="903"/>
        <w:gridCol w:w="1315"/>
        <w:gridCol w:w="850"/>
        <w:gridCol w:w="682"/>
      </w:tblGrid>
      <w:tr w:rsidR="002821B8" w:rsidRPr="002821B8" w:rsidTr="002821B8">
        <w:trPr>
          <w:trHeight w:val="331"/>
        </w:trPr>
        <w:tc>
          <w:tcPr>
            <w:tcW w:w="396"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SOV </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w:t>
            </w:r>
          </w:p>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LDV</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w:t>
            </w:r>
          </w:p>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VEL</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SOV/VEL/VOX</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GLE/PIB</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GZR/</w:t>
            </w:r>
          </w:p>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EBR</w:t>
            </w:r>
          </w:p>
        </w:tc>
      </w:tr>
      <w:tr w:rsidR="002821B8" w:rsidRPr="002821B8" w:rsidTr="002821B8">
        <w:trPr>
          <w:trHeight w:val="343"/>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NRTIs</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Abacavir</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Emtricitabine</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Lamivudină</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Tenofoviri disoproxili fumarase (TDF)</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Tenofoviri alafenamide (TAF)</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NNRTIs</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Doravirin</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Efavirenz</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Etravirin</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Nevirapin</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Rilpivirin</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Protease inhibitors</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Atazanavir/ritonavir</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Atazanavir/cobicistat</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Darunavir/ritonavir</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Darunavir/cobicistat</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Lopinavir/ritonavir</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451"/>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Entry/Integrase inhibitors </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Bictegravir/emtricitabine/t</w:t>
            </w:r>
          </w:p>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enofovir alafenamide (TAF)</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277"/>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Cabotegravirª</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92"/>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Dolutegravir</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550"/>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Elvitegravir/cobicistat/emtricitabine/tenofoviri disoproxili fumarate (TDF)</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531"/>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Elvitegravir/cobicistat/emtricitabine/tenofoviri alafenamide (TAF)</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275"/>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Maravirocª</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404"/>
        </w:trPr>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Raltegravirª</w:t>
            </w: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cantSplit/>
          <w:trHeight w:val="1538"/>
        </w:trPr>
        <w:tc>
          <w:tcPr>
            <w:tcW w:w="39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lastRenderedPageBreak/>
              <w:t>Entry/Fusion Inhibitors</w:t>
            </w:r>
          </w:p>
        </w:tc>
        <w:tc>
          <w:tcPr>
            <w:tcW w:w="1597"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Fostemsavirª</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cantSplit/>
          <w:trHeight w:val="1134"/>
        </w:trPr>
        <w:tc>
          <w:tcPr>
            <w:tcW w:w="39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Capsid inhibitor</w:t>
            </w:r>
          </w:p>
        </w:tc>
        <w:tc>
          <w:tcPr>
            <w:tcW w:w="1597"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Lenacapavirª</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00" w:type="pct"/>
            <w:tcBorders>
              <w:top w:val="single" w:sz="4" w:space="0" w:color="auto"/>
              <w:left w:val="single" w:sz="4" w:space="0" w:color="auto"/>
              <w:bottom w:val="single" w:sz="4" w:space="0" w:color="auto"/>
              <w:right w:val="single" w:sz="4" w:space="0" w:color="auto"/>
            </w:tcBorders>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727"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bl>
    <w:p w:rsidR="002821B8" w:rsidRPr="002821B8" w:rsidRDefault="002821B8" w:rsidP="002821B8">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sz w:val="24"/>
          <w:szCs w:val="24"/>
          <w:lang w:val="ro-RO" w:eastAsia="ru-RU"/>
        </w:rPr>
        <w:t>Abrevieri:</w:t>
      </w:r>
      <w:r w:rsidRPr="002821B8">
        <w:rPr>
          <w:rFonts w:ascii="Times New Roman" w:eastAsia="Times New Roman" w:hAnsi="Times New Roman" w:cs="Times New Roman"/>
          <w:iCs/>
          <w:sz w:val="24"/>
          <w:szCs w:val="24"/>
          <w:lang w:val="ro-RO" w:eastAsia="ru-RU"/>
        </w:rPr>
        <w:t xml:space="preserve"> DAAs, medicamentele antivirale cu acțiune directă; </w:t>
      </w:r>
      <w:r w:rsidRPr="002821B8">
        <w:rPr>
          <w:rFonts w:ascii="Times New Roman" w:eastAsia="Times New Roman" w:hAnsi="Times New Roman" w:cs="Times New Roman"/>
          <w:sz w:val="24"/>
          <w:szCs w:val="24"/>
          <w:lang w:val="ro-RO" w:eastAsia="ru-RU"/>
        </w:rPr>
        <w:t>EBR, elbasvirum*; GLE, glecaprevirum*; GZR, grazoprevirum*; NNRTI, non-nucleosidic reverse transcriptasic inhibitor; NRTI, nucleosidic reverse transcriptasic inhibitor; PIB, pibrentasvirum*; SOF, sofosbuvirum*; VEL, velpatasvirum*; VOX, voxilaprevirum*.</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i/>
          <w:iCs/>
          <w:sz w:val="24"/>
          <w:szCs w:val="24"/>
          <w:lang w:val="ro-RO" w:eastAsia="ru-RU"/>
        </w:rPr>
        <w:t xml:space="preserve">Notă: </w:t>
      </w:r>
      <w:r w:rsidRPr="002821B8">
        <w:rPr>
          <w:rFonts w:ascii="Times New Roman" w:eastAsia="Times New Roman" w:hAnsi="Times New Roman" w:cs="Times New Roman"/>
          <w:b/>
          <w:sz w:val="24"/>
          <w:szCs w:val="24"/>
          <w:lang w:val="ro-RO" w:eastAsia="ru-RU"/>
        </w:rPr>
        <w:t xml:space="preserve">ª </w:t>
      </w:r>
      <w:r w:rsidRPr="002821B8">
        <w:rPr>
          <w:rFonts w:ascii="Times New Roman" w:eastAsia="Times New Roman" w:hAnsi="Times New Roman" w:cs="Times New Roman"/>
          <w:sz w:val="24"/>
          <w:szCs w:val="24"/>
          <w:lang w:val="ro-RO" w:eastAsia="ru-RU"/>
        </w:rPr>
        <w:t>Preparate care nu sunt înregistrate în Nomenclatorul de Stat al medicamentelor în Republica Moldova</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Nu există interacțiune medicamentoasă semnificativă;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Interacțiune medicamentoasă potențială care poate necesita ajustarea dozei/modificarea momentului de administrare/monitorizare suplimentară;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Aceste medicamente nu trebuie administrate concomitent. </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*Creșterea cunoscută sau anticipată a concentrațiilor de tenofovirum în regimurile care conțin fumarat de tenofoviri disoproxilum. Atenție și monitorizare renală frecventă.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iCs/>
          <w:sz w:val="24"/>
          <w:szCs w:val="24"/>
          <w:lang w:val="ro-RO" w:eastAsia="ru-RU"/>
        </w:rPr>
        <w:t>Tabelul 2</w:t>
      </w:r>
      <w:r w:rsidR="00955272">
        <w:rPr>
          <w:rFonts w:ascii="Times New Roman" w:eastAsia="Times New Roman" w:hAnsi="Times New Roman" w:cs="Times New Roman"/>
          <w:b/>
          <w:iCs/>
          <w:sz w:val="24"/>
          <w:szCs w:val="24"/>
          <w:lang w:val="ro-RO" w:eastAsia="ru-RU"/>
        </w:rPr>
        <w:t>2</w:t>
      </w:r>
      <w:r w:rsidRPr="002821B8">
        <w:rPr>
          <w:rFonts w:ascii="Times New Roman" w:eastAsia="Times New Roman" w:hAnsi="Times New Roman" w:cs="Times New Roman"/>
          <w:b/>
          <w:iCs/>
          <w:sz w:val="24"/>
          <w:szCs w:val="24"/>
          <w:lang w:val="ro-RO" w:eastAsia="ru-RU"/>
        </w:rPr>
        <w:t>.</w:t>
      </w:r>
      <w:r w:rsidRPr="002821B8">
        <w:rPr>
          <w:rFonts w:ascii="Times New Roman" w:eastAsia="Times New Roman" w:hAnsi="Times New Roman" w:cs="Times New Roman"/>
          <w:sz w:val="24"/>
          <w:szCs w:val="24"/>
          <w:lang w:val="ro-RO" w:eastAsia="ru-RU"/>
        </w:rPr>
        <w:t xml:space="preserve"> </w:t>
      </w:r>
      <w:r w:rsidRPr="002821B8">
        <w:rPr>
          <w:rFonts w:ascii="Times New Roman" w:eastAsia="Times New Roman" w:hAnsi="Times New Roman" w:cs="Times New Roman"/>
          <w:b/>
          <w:bCs/>
          <w:sz w:val="24"/>
          <w:szCs w:val="24"/>
          <w:lang w:val="ro-RO" w:eastAsia="ru-RU"/>
        </w:rPr>
        <w:t>Interacțiuni medicamentoase între DAAs pentru infecția cu VHC și drogurile ilicite/recreative sau drogurile de abuz.</w:t>
      </w:r>
      <w:r w:rsidRPr="002821B8">
        <w:rPr>
          <w:rFonts w:ascii="Times New Roman" w:eastAsia="Times New Roman" w:hAnsi="Times New Roman" w:cs="Times New Roman"/>
          <w:sz w:val="24"/>
          <w:szCs w:val="24"/>
          <w:lang w:val="ro-RO" w:eastAsia="ru-RU"/>
        </w:rPr>
        <w:t xml:space="preserve"> </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0"/>
        <w:gridCol w:w="689"/>
        <w:gridCol w:w="1232"/>
        <w:gridCol w:w="1815"/>
        <w:gridCol w:w="1154"/>
        <w:gridCol w:w="1017"/>
      </w:tblGrid>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SOV </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SOV/VEL/VOX</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GLE/PIB</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GZR/EBR</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Amphetamină</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Cannabis</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Cocaine</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Diamorphină</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Diazepam</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Fentanyl</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Gamma -hydroxybutyrate</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Ketamină</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MDMA (ecstasy)</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Mephedronă</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Methadonă</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Methamphetamină</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Oxycodon</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Phencyclidine (PCP)</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Temazepam</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bl>
    <w:p w:rsidR="002821B8" w:rsidRPr="002821B8" w:rsidRDefault="002821B8" w:rsidP="002821B8">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sz w:val="24"/>
          <w:szCs w:val="24"/>
          <w:lang w:val="ro-RO" w:eastAsia="ru-RU"/>
        </w:rPr>
        <w:t>Abrevieri:</w:t>
      </w:r>
      <w:r w:rsidRPr="002821B8">
        <w:rPr>
          <w:rFonts w:ascii="Times New Roman" w:eastAsia="Times New Roman" w:hAnsi="Times New Roman" w:cs="Times New Roman"/>
          <w:iCs/>
          <w:sz w:val="24"/>
          <w:szCs w:val="24"/>
          <w:lang w:val="ro-RO" w:eastAsia="ru-RU"/>
        </w:rPr>
        <w:t xml:space="preserve"> DAAs, medicamentele antivirale cu acțiune directă; </w:t>
      </w:r>
      <w:r w:rsidRPr="002821B8">
        <w:rPr>
          <w:rFonts w:ascii="Times New Roman" w:eastAsia="Times New Roman" w:hAnsi="Times New Roman" w:cs="Times New Roman"/>
          <w:sz w:val="24"/>
          <w:szCs w:val="24"/>
          <w:lang w:val="ro-RO" w:eastAsia="ru-RU"/>
        </w:rPr>
        <w:t>EBR, elbasvirum*; GLE, glecaprevirum*; GZR, grazoprevirum*; PIB, pibrentasvirum*; SOF, sofosbuvirum*; VEL, velpatasvirum*; VOX, voxilaprevirum*.</w:t>
      </w:r>
    </w:p>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Notă: </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lastRenderedPageBreak/>
        <w:t>+</w:t>
      </w:r>
      <w:r w:rsidRPr="002821B8">
        <w:rPr>
          <w:rFonts w:ascii="Times New Roman" w:eastAsia="Times New Roman" w:hAnsi="Times New Roman" w:cs="Times New Roman"/>
          <w:sz w:val="24"/>
          <w:szCs w:val="24"/>
          <w:lang w:val="ro-RO" w:eastAsia="ru-RU"/>
        </w:rPr>
        <w:t xml:space="preserve"> Nu există interacțiune medicamentoasă semnificativă;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Interacțiune medicamentoasă potențială care poate necesita ajustarea dozei/modificarea momentului de administrare/monitorizare suplimentară;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Aceste medicamente nu trebuie administrate concomitent.</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Tabelul 2</w:t>
      </w:r>
      <w:r w:rsidR="00955272">
        <w:rPr>
          <w:rFonts w:ascii="Times New Roman" w:eastAsia="Times New Roman" w:hAnsi="Times New Roman" w:cs="Times New Roman"/>
          <w:b/>
          <w:sz w:val="24"/>
          <w:szCs w:val="24"/>
          <w:lang w:val="ro-RO" w:eastAsia="ru-RU"/>
        </w:rPr>
        <w:t>3</w:t>
      </w: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w:t>
      </w:r>
      <w:r w:rsidRPr="002821B8">
        <w:rPr>
          <w:rFonts w:ascii="Times New Roman" w:eastAsia="Times New Roman" w:hAnsi="Times New Roman" w:cs="Times New Roman"/>
          <w:b/>
          <w:bCs/>
          <w:sz w:val="24"/>
          <w:szCs w:val="24"/>
          <w:lang w:val="ro-RO" w:eastAsia="ru-RU"/>
        </w:rPr>
        <w:t>Interacțiuni medicamentoase între DAAs pentru infecția cu VHC și medicamentele hipolipemiante.</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0"/>
        <w:gridCol w:w="689"/>
        <w:gridCol w:w="1232"/>
        <w:gridCol w:w="1815"/>
        <w:gridCol w:w="1156"/>
        <w:gridCol w:w="1015"/>
      </w:tblGrid>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SOV </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SOV/VEL/VOX</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GLE/PIB</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GZR/EBR</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Atorvastatin</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Bezafibrate</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Ezetimibe</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Fenofibrate</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Fluvastatin</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Gemfibrozil</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Lovastatin</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Pitavastatin</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Pravastatin</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Rosuvastatin</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Simvastatin</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bl>
    <w:p w:rsidR="002821B8" w:rsidRPr="002821B8" w:rsidRDefault="002821B8" w:rsidP="002821B8">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sz w:val="24"/>
          <w:szCs w:val="24"/>
          <w:lang w:val="ro-RO" w:eastAsia="ru-RU"/>
        </w:rPr>
        <w:t>Abrevieri:</w:t>
      </w:r>
      <w:r w:rsidRPr="002821B8">
        <w:rPr>
          <w:rFonts w:ascii="Times New Roman" w:eastAsia="Times New Roman" w:hAnsi="Times New Roman" w:cs="Times New Roman"/>
          <w:iCs/>
          <w:sz w:val="24"/>
          <w:szCs w:val="24"/>
          <w:lang w:val="ro-RO" w:eastAsia="ru-RU"/>
        </w:rPr>
        <w:t xml:space="preserve"> DAAs, medicamentele antivirale cu acțiune directă; </w:t>
      </w:r>
      <w:r w:rsidRPr="002821B8">
        <w:rPr>
          <w:rFonts w:ascii="Times New Roman" w:eastAsia="Times New Roman" w:hAnsi="Times New Roman" w:cs="Times New Roman"/>
          <w:sz w:val="24"/>
          <w:szCs w:val="24"/>
          <w:lang w:val="ro-RO" w:eastAsia="ru-RU"/>
        </w:rPr>
        <w:t>EBR, elbasvirum*; GLE, glecaprevirum*; GZR, grazoprevirum*; PIB, pibrentasvirum*; SOF, sofosbuvirum*; VEL, velpatasvirum*; VOX, voxilaprevirum*.</w:t>
      </w:r>
    </w:p>
    <w:p w:rsidR="002821B8" w:rsidRPr="002821B8" w:rsidRDefault="002821B8" w:rsidP="002821B8">
      <w:pPr>
        <w:spacing w:after="0" w:line="240" w:lineRule="auto"/>
        <w:rPr>
          <w:rFonts w:ascii="Times New Roman" w:eastAsia="Times New Roman" w:hAnsi="Times New Roman" w:cs="Times New Roman"/>
          <w:b/>
          <w:i/>
          <w:iCs/>
          <w:sz w:val="24"/>
          <w:szCs w:val="24"/>
          <w:lang w:val="ro-RO" w:eastAsia="ru-RU"/>
        </w:rPr>
      </w:pPr>
      <w:r w:rsidRPr="002821B8">
        <w:rPr>
          <w:rFonts w:ascii="Times New Roman" w:eastAsia="Times New Roman" w:hAnsi="Times New Roman" w:cs="Times New Roman"/>
          <w:b/>
          <w:i/>
          <w:iCs/>
          <w:sz w:val="24"/>
          <w:szCs w:val="24"/>
          <w:lang w:val="ro-RO" w:eastAsia="ru-RU"/>
        </w:rPr>
        <w:t xml:space="preserve">Notă: </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Nu există interacțiune medicamentoasă semnificativă;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Interacțiune medicamentoasă potențială care poate necesita ajustarea dozei/modificarea momentului de administrare/monitorizare suplimentară;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Aceste medicamente nu trebuie administrate concomitent.</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Tabelul 2</w:t>
      </w:r>
      <w:r w:rsidR="00955272">
        <w:rPr>
          <w:rFonts w:ascii="Times New Roman" w:eastAsia="Times New Roman" w:hAnsi="Times New Roman" w:cs="Times New Roman"/>
          <w:b/>
          <w:sz w:val="24"/>
          <w:szCs w:val="24"/>
          <w:lang w:val="ro-RO" w:eastAsia="ru-RU"/>
        </w:rPr>
        <w:t>4</w:t>
      </w: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w:t>
      </w:r>
      <w:r w:rsidRPr="002821B8">
        <w:rPr>
          <w:rFonts w:ascii="Times New Roman" w:eastAsia="Times New Roman" w:hAnsi="Times New Roman" w:cs="Times New Roman"/>
          <w:b/>
          <w:bCs/>
          <w:sz w:val="24"/>
          <w:szCs w:val="24"/>
          <w:lang w:val="ro-RO" w:eastAsia="ru-RU"/>
        </w:rPr>
        <w:t>Interacțiuni medicamentoase între DAAs pentru infecția cu VHC și medicamentele pentru sistemul nervos central.</w:t>
      </w:r>
      <w:r w:rsidRPr="002821B8">
        <w:rPr>
          <w:rFonts w:ascii="Times New Roman" w:eastAsia="Times New Roman" w:hAnsi="Times New Roman" w:cs="Times New Roman"/>
          <w:sz w:val="24"/>
          <w:szCs w:val="24"/>
          <w:lang w:val="ro-RO" w:eastAsia="ru-RU"/>
        </w:rPr>
        <w:t xml:space="preserve"> </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2627"/>
        <w:gridCol w:w="684"/>
        <w:gridCol w:w="1222"/>
        <w:gridCol w:w="1802"/>
        <w:gridCol w:w="1146"/>
        <w:gridCol w:w="1146"/>
      </w:tblGrid>
      <w:tr w:rsidR="002821B8" w:rsidRPr="002821B8" w:rsidTr="006963F9">
        <w:trPr>
          <w:trHeight w:val="331"/>
        </w:trPr>
        <w:tc>
          <w:tcPr>
            <w:tcW w:w="356"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SOV </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SOV/VEL/VOX</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GLE/PIB</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GZR/EBR</w:t>
            </w:r>
          </w:p>
        </w:tc>
      </w:tr>
      <w:tr w:rsidR="002821B8" w:rsidRPr="002821B8" w:rsidTr="006963F9">
        <w:trPr>
          <w:trHeight w:val="343"/>
        </w:trPr>
        <w:tc>
          <w:tcPr>
            <w:tcW w:w="35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Anti-depresante</w:t>
            </w: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Amitriptylină</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Citalopram</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Duloxetine</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Escitalopram</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Fluoxetie</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Paroxetină</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Sertralină</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Trazodone</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Venlafaxină</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Anti-psihotice</w:t>
            </w:r>
          </w:p>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Amisulprid</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Aripiprazole</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Chlorpromazină</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Clozapine</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Flupentixol</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Haloperidol</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Olanzapină</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Paliperidone</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Quetiapină</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Risperidon</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414"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Zuclopentixol</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bl>
    <w:p w:rsidR="002821B8" w:rsidRPr="002821B8" w:rsidRDefault="002821B8" w:rsidP="002821B8">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sz w:val="24"/>
          <w:szCs w:val="24"/>
          <w:lang w:val="ro-RO" w:eastAsia="ru-RU"/>
        </w:rPr>
        <w:t>Abrevieri:</w:t>
      </w:r>
      <w:r w:rsidRPr="002821B8">
        <w:rPr>
          <w:rFonts w:ascii="Times New Roman" w:eastAsia="Times New Roman" w:hAnsi="Times New Roman" w:cs="Times New Roman"/>
          <w:iCs/>
          <w:sz w:val="24"/>
          <w:szCs w:val="24"/>
          <w:lang w:val="ro-RO" w:eastAsia="ru-RU"/>
        </w:rPr>
        <w:t xml:space="preserve"> DAAs, medicamentele antivirale cu acțiune directă; </w:t>
      </w:r>
      <w:r w:rsidRPr="002821B8">
        <w:rPr>
          <w:rFonts w:ascii="Times New Roman" w:eastAsia="Times New Roman" w:hAnsi="Times New Roman" w:cs="Times New Roman"/>
          <w:sz w:val="24"/>
          <w:szCs w:val="24"/>
          <w:lang w:val="ro-RO" w:eastAsia="ru-RU"/>
        </w:rPr>
        <w:t>EBR, elbasvirum*; GLE, glecaprevirum*; GZR, grazoprevirum*; PIB, pibrentasvirum*; SOF, sofosbuvirum*; VEL, velpatasvirum*; VOX, voxilaprevirum*.</w:t>
      </w:r>
    </w:p>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Notă: </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Nu există interacțiune medicamentoasă semnificativă;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Interacțiune medicamentoasă potențială care poate necesita ajustarea dozei/modificarea momentului de administrare/monitorizare suplimentară;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Aceste medicamente nu trebuie administrate concomitent; </w:t>
      </w:r>
    </w:p>
    <w:p w:rsidR="002821B8" w:rsidRPr="002821B8" w:rsidRDefault="002821B8" w:rsidP="002821B8">
      <w:pPr>
        <w:spacing w:after="0" w:line="240" w:lineRule="auto"/>
        <w:ind w:right="141"/>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25</w:t>
      </w: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w:t>
      </w:r>
      <w:r w:rsidRPr="002821B8">
        <w:rPr>
          <w:rFonts w:ascii="Times New Roman" w:eastAsia="Times New Roman" w:hAnsi="Times New Roman" w:cs="Times New Roman"/>
          <w:b/>
          <w:bCs/>
          <w:sz w:val="24"/>
          <w:szCs w:val="24"/>
          <w:lang w:val="ro-RO" w:eastAsia="ru-RU"/>
        </w:rPr>
        <w:t>Interacțiuni medicamentoase între DAAs pentru infecția cu VHC și medicamentele cardiovasculare</w:t>
      </w:r>
    </w:p>
    <w:tbl>
      <w:tblPr>
        <w:tblW w:w="509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38"/>
        <w:gridCol w:w="710"/>
        <w:gridCol w:w="1270"/>
        <w:gridCol w:w="1870"/>
        <w:gridCol w:w="1191"/>
        <w:gridCol w:w="1297"/>
      </w:tblGrid>
      <w:tr w:rsidR="002821B8" w:rsidRPr="002821B8" w:rsidTr="006963F9">
        <w:trPr>
          <w:trHeight w:val="331"/>
        </w:trPr>
        <w:tc>
          <w:tcPr>
            <w:tcW w:w="364"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SOV </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SOV/VEL/VOX</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GLE/PIB</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GZR/EBR</w:t>
            </w:r>
          </w:p>
        </w:tc>
      </w:tr>
      <w:tr w:rsidR="002821B8" w:rsidRPr="002821B8" w:rsidTr="006963F9">
        <w:trPr>
          <w:trHeight w:val="343"/>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jc w:val="center"/>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Anti-aritmice </w:t>
            </w: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Amiodarona</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Digoxin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Vernakalant</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Flecainida</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jc w:val="center"/>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Beta-blocatori </w:t>
            </w: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Atenolol</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Bisoprolol</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Carvedilol</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Propranolol</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jc w:val="center"/>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Blocante ale canalelor de calciu</w:t>
            </w: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Amlodipina</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43"/>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Diltiazem</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Nifedipine</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821B8" w:rsidRPr="002821B8" w:rsidRDefault="002821B8" w:rsidP="002821B8">
            <w:pPr>
              <w:spacing w:after="0" w:line="240" w:lineRule="auto"/>
              <w:ind w:left="113" w:right="113"/>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Agenți anti hipertensivi </w:t>
            </w: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Losartan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331"/>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Doxazosin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6963F9">
        <w:trPr>
          <w:trHeight w:val="418"/>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12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Enalapril</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bl>
    <w:p w:rsidR="002821B8" w:rsidRPr="002821B8" w:rsidRDefault="002821B8" w:rsidP="002821B8">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sz w:val="24"/>
          <w:szCs w:val="24"/>
          <w:lang w:val="ro-RO" w:eastAsia="ru-RU"/>
        </w:rPr>
        <w:t>Abrevieri:</w:t>
      </w:r>
      <w:r w:rsidRPr="002821B8">
        <w:rPr>
          <w:rFonts w:ascii="Times New Roman" w:eastAsia="Times New Roman" w:hAnsi="Times New Roman" w:cs="Times New Roman"/>
          <w:iCs/>
          <w:sz w:val="24"/>
          <w:szCs w:val="24"/>
          <w:lang w:val="ro-RO" w:eastAsia="ru-RU"/>
        </w:rPr>
        <w:t xml:space="preserve"> DAAs, medicamentele antivirale cu acțiune directă; </w:t>
      </w:r>
      <w:r w:rsidRPr="002821B8">
        <w:rPr>
          <w:rFonts w:ascii="Times New Roman" w:eastAsia="Times New Roman" w:hAnsi="Times New Roman" w:cs="Times New Roman"/>
          <w:sz w:val="24"/>
          <w:szCs w:val="24"/>
          <w:lang w:val="ro-RO" w:eastAsia="ru-RU"/>
        </w:rPr>
        <w:t>EBR, elbasvirum*; GLE, glecaprevirum*; GZR, grazoprevirum*; PIB, pibrentasvirum*; SOF, sofosbuvirum*; VEL, velpatasvirum*; VOX, voxilaprevirum*.</w:t>
      </w:r>
    </w:p>
    <w:p w:rsidR="002821B8" w:rsidRPr="002821B8" w:rsidRDefault="002821B8" w:rsidP="002821B8">
      <w:pPr>
        <w:spacing w:after="0" w:line="240" w:lineRule="auto"/>
        <w:rPr>
          <w:rFonts w:ascii="Times New Roman" w:eastAsia="Times New Roman" w:hAnsi="Times New Roman" w:cs="Times New Roman"/>
          <w:b/>
          <w:i/>
          <w:iCs/>
          <w:sz w:val="24"/>
          <w:szCs w:val="24"/>
          <w:lang w:val="ro-RO" w:eastAsia="ru-RU"/>
        </w:rPr>
      </w:pPr>
      <w:r w:rsidRPr="002821B8">
        <w:rPr>
          <w:rFonts w:ascii="Times New Roman" w:eastAsia="Times New Roman" w:hAnsi="Times New Roman" w:cs="Times New Roman"/>
          <w:b/>
          <w:i/>
          <w:iCs/>
          <w:sz w:val="24"/>
          <w:szCs w:val="24"/>
          <w:lang w:val="ro-RO" w:eastAsia="ru-RU"/>
        </w:rPr>
        <w:t xml:space="preserve">Notă: </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Nu există interacțiune medicamentoasă semnificativă;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Interacțiune medicamentoasă potențială care poate necesita ajustarea dozei/modificarea momentului de administrare/monitorizare suplimentară;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Aceste medicamente nu trebuie administrate concomitent; </w:t>
      </w:r>
    </w:p>
    <w:p w:rsidR="002821B8" w:rsidRDefault="002821B8" w:rsidP="002821B8">
      <w:pPr>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26</w:t>
      </w: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w:t>
      </w:r>
      <w:r w:rsidRPr="002821B8">
        <w:rPr>
          <w:rFonts w:ascii="Times New Roman" w:eastAsia="Times New Roman" w:hAnsi="Times New Roman" w:cs="Times New Roman"/>
          <w:b/>
          <w:bCs/>
          <w:sz w:val="24"/>
          <w:szCs w:val="24"/>
          <w:lang w:val="ro-RO" w:eastAsia="ru-RU"/>
        </w:rPr>
        <w:t xml:space="preserve">Interacțiuni medicamentoase între DAAs pentru infecția cu VHC </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sz w:val="24"/>
          <w:szCs w:val="24"/>
          <w:lang w:val="ro-RO" w:eastAsia="ru-RU"/>
        </w:rPr>
        <w:lastRenderedPageBreak/>
        <w:t>și medicamentele imunosupresoare</w:t>
      </w:r>
      <w:r w:rsidRPr="002821B8">
        <w:rPr>
          <w:rFonts w:ascii="Times New Roman" w:eastAsia="Times New Roman" w:hAnsi="Times New Roman" w:cs="Times New Roman"/>
          <w:sz w:val="24"/>
          <w:szCs w:val="24"/>
          <w:lang w:val="ro-RO" w:eastAsia="ru-RU"/>
        </w:rPr>
        <w:t xml:space="preserve"> </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0"/>
        <w:gridCol w:w="689"/>
        <w:gridCol w:w="1232"/>
        <w:gridCol w:w="1815"/>
        <w:gridCol w:w="1154"/>
        <w:gridCol w:w="1017"/>
      </w:tblGrid>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SOV </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SOV/VEL/VOX</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GLE/PIB</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GZR/EBR</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Azathioprina</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Cyclosporine</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Etanercept</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Mycophenolat</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Sirolimus</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Tacrolimus</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c>
          <w:tcPr>
            <w:tcW w:w="562"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p>
        </w:tc>
      </w:tr>
    </w:tbl>
    <w:p w:rsidR="002821B8" w:rsidRPr="002821B8" w:rsidRDefault="002821B8" w:rsidP="002821B8">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sz w:val="24"/>
          <w:szCs w:val="24"/>
          <w:lang w:val="ro-RO" w:eastAsia="ru-RU"/>
        </w:rPr>
        <w:t xml:space="preserve">Abrevieri: </w:t>
      </w:r>
      <w:r w:rsidRPr="002821B8">
        <w:rPr>
          <w:rFonts w:ascii="Times New Roman" w:eastAsia="Times New Roman" w:hAnsi="Times New Roman" w:cs="Times New Roman"/>
          <w:iCs/>
          <w:sz w:val="24"/>
          <w:szCs w:val="24"/>
          <w:lang w:val="ro-RO" w:eastAsia="ru-RU"/>
        </w:rPr>
        <w:t xml:space="preserve">DAAs, medicamentele antivirale cu acțiune directă; </w:t>
      </w:r>
      <w:r w:rsidRPr="002821B8">
        <w:rPr>
          <w:rFonts w:ascii="Times New Roman" w:eastAsia="Times New Roman" w:hAnsi="Times New Roman" w:cs="Times New Roman"/>
          <w:sz w:val="24"/>
          <w:szCs w:val="24"/>
          <w:lang w:val="ro-RO" w:eastAsia="ru-RU"/>
        </w:rPr>
        <w:t>EBR, elbasvirum*; GLE, glecaprevirum*; GZR, grazoprevirum*; PIB, pibrentasvirum*; SOF, sofosbuvirum*; VEL, velpatasvirum*; VOX, voxilaprevirum*.</w:t>
      </w:r>
    </w:p>
    <w:p w:rsidR="002821B8" w:rsidRPr="002821B8" w:rsidRDefault="002821B8" w:rsidP="002821B8">
      <w:pPr>
        <w:spacing w:after="0" w:line="240" w:lineRule="auto"/>
        <w:rPr>
          <w:rFonts w:ascii="Times New Roman" w:eastAsia="Times New Roman" w:hAnsi="Times New Roman" w:cs="Times New Roman"/>
          <w:b/>
          <w:i/>
          <w:iCs/>
          <w:sz w:val="24"/>
          <w:szCs w:val="24"/>
          <w:lang w:val="ro-RO" w:eastAsia="ru-RU"/>
        </w:rPr>
      </w:pPr>
      <w:r w:rsidRPr="002821B8">
        <w:rPr>
          <w:rFonts w:ascii="Times New Roman" w:eastAsia="Times New Roman" w:hAnsi="Times New Roman" w:cs="Times New Roman"/>
          <w:b/>
          <w:i/>
          <w:iCs/>
          <w:sz w:val="24"/>
          <w:szCs w:val="24"/>
          <w:lang w:val="ro-RO" w:eastAsia="ru-RU"/>
        </w:rPr>
        <w:t xml:space="preserve">Notă: </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Nu există interacțiune medicamentoasă semnificativă;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Interacțiune medicamentoasă potențială care poate necesita ajustarea dozei/modificarea momentului de administrare/monitorizare suplimentară;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Aceste medicamente nu trebuie administrate concomitent; </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27</w:t>
      </w: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w:t>
      </w:r>
      <w:r w:rsidRPr="002821B8">
        <w:rPr>
          <w:rFonts w:ascii="Times New Roman" w:eastAsia="Times New Roman" w:hAnsi="Times New Roman" w:cs="Times New Roman"/>
          <w:b/>
          <w:bCs/>
          <w:sz w:val="24"/>
          <w:szCs w:val="24"/>
          <w:lang w:val="ro-RO" w:eastAsia="ru-RU"/>
        </w:rPr>
        <w:t>Interacțiuni medicamentoase între DAAs pentru infecția cu VHC și medicamentele anticoagulante</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689"/>
        <w:gridCol w:w="1232"/>
        <w:gridCol w:w="1815"/>
        <w:gridCol w:w="1155"/>
        <w:gridCol w:w="1154"/>
      </w:tblGrid>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SOV </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SOV/VEL/VOX</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GLE/PIB</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GZR/EBR</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Clopidogrel</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Dabigatran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Ticagrelor</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Rivaroxaban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Apixaban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Edoxaban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Warfarin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bl>
    <w:p w:rsidR="002821B8" w:rsidRPr="002821B8" w:rsidRDefault="002821B8" w:rsidP="002821B8">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sz w:val="24"/>
          <w:szCs w:val="24"/>
          <w:lang w:val="ro-RO" w:eastAsia="ru-RU"/>
        </w:rPr>
        <w:t xml:space="preserve">Abrevieri: </w:t>
      </w:r>
      <w:r w:rsidRPr="002821B8">
        <w:rPr>
          <w:rFonts w:ascii="Times New Roman" w:eastAsia="Times New Roman" w:hAnsi="Times New Roman" w:cs="Times New Roman"/>
          <w:iCs/>
          <w:sz w:val="24"/>
          <w:szCs w:val="24"/>
          <w:lang w:val="ro-RO" w:eastAsia="ru-RU"/>
        </w:rPr>
        <w:t xml:space="preserve">DAAs, medicamentele antivirale cu acțiune directă; </w:t>
      </w:r>
      <w:r w:rsidRPr="002821B8">
        <w:rPr>
          <w:rFonts w:ascii="Times New Roman" w:eastAsia="Times New Roman" w:hAnsi="Times New Roman" w:cs="Times New Roman"/>
          <w:sz w:val="24"/>
          <w:szCs w:val="24"/>
          <w:lang w:val="ro-RO" w:eastAsia="ru-RU"/>
        </w:rPr>
        <w:t>EBR, elbasvirum*; GLE, glecaprevirum*; GZR, grazoprevirum*; PIB, pibrentasvirum*; SOF, sofosbuvirum*; VEL, velpatasvirum*; VOX, voxilaprevirum*.</w:t>
      </w:r>
    </w:p>
    <w:p w:rsidR="002821B8" w:rsidRPr="002821B8" w:rsidRDefault="002821B8" w:rsidP="002821B8">
      <w:pPr>
        <w:spacing w:after="0" w:line="240" w:lineRule="auto"/>
        <w:rPr>
          <w:rFonts w:ascii="Times New Roman" w:eastAsia="Times New Roman" w:hAnsi="Times New Roman" w:cs="Times New Roman"/>
          <w:b/>
          <w:i/>
          <w:iCs/>
          <w:sz w:val="24"/>
          <w:szCs w:val="24"/>
          <w:lang w:val="ro-RO" w:eastAsia="ru-RU"/>
        </w:rPr>
      </w:pPr>
      <w:r w:rsidRPr="002821B8">
        <w:rPr>
          <w:rFonts w:ascii="Times New Roman" w:eastAsia="Times New Roman" w:hAnsi="Times New Roman" w:cs="Times New Roman"/>
          <w:b/>
          <w:i/>
          <w:iCs/>
          <w:sz w:val="24"/>
          <w:szCs w:val="24"/>
          <w:lang w:val="ro-RO" w:eastAsia="ru-RU"/>
        </w:rPr>
        <w:t xml:space="preserve">Notă: </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Nu există interacțiune medicamentoasă semnificativă;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Interacțiune medicamentoasă potențială care poate necesita ajustarea dozei/modificarea momentului de administrare/monitorizare suplimentară;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Aceste medicamente nu trebuie administrate concomitent;</w:t>
      </w:r>
    </w:p>
    <w:p w:rsidR="002821B8" w:rsidRPr="002821B8" w:rsidRDefault="002821B8" w:rsidP="002821B8">
      <w:pPr>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sz w:val="24"/>
          <w:szCs w:val="24"/>
          <w:lang w:val="ro-RO" w:eastAsia="ru-RU"/>
        </w:rPr>
        <w:t xml:space="preserve">Tabelul </w:t>
      </w:r>
      <w:r w:rsidR="00955272">
        <w:rPr>
          <w:rFonts w:ascii="Times New Roman" w:eastAsia="Times New Roman" w:hAnsi="Times New Roman" w:cs="Times New Roman"/>
          <w:b/>
          <w:sz w:val="24"/>
          <w:szCs w:val="24"/>
          <w:lang w:val="ro-RO" w:eastAsia="ru-RU"/>
        </w:rPr>
        <w:t>28</w:t>
      </w: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w:t>
      </w:r>
      <w:r w:rsidRPr="002821B8">
        <w:rPr>
          <w:rFonts w:ascii="Times New Roman" w:eastAsia="Times New Roman" w:hAnsi="Times New Roman" w:cs="Times New Roman"/>
          <w:b/>
          <w:bCs/>
          <w:sz w:val="24"/>
          <w:szCs w:val="24"/>
          <w:lang w:val="ro-RO" w:eastAsia="ru-RU"/>
        </w:rPr>
        <w:t xml:space="preserve">Interacțiuni medicamentoase între DAAs pentru infecția cu VHC și medicamentele anticonvulsivante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689"/>
        <w:gridCol w:w="1232"/>
        <w:gridCol w:w="1815"/>
        <w:gridCol w:w="1155"/>
        <w:gridCol w:w="1154"/>
      </w:tblGrid>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SOV </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SOV/VEL/VOX</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GLE/PIB</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GZR/EBR</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Carbamazepina</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Clonazepam</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Eslicarbazepina</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Ethosuximid</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Gabapentin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lastRenderedPageBreak/>
              <w:t>Lacosamide</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Lamotrigina</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Levetiracetam</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Lorazepam</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Oxcarbazepine</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Phenobarbital</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Phenytoin</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31"/>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Primidone</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Topiramate</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Valproat de sudiu</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r w:rsidR="002821B8" w:rsidRPr="002821B8" w:rsidTr="002821B8">
        <w:trPr>
          <w:trHeight w:val="343"/>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autoSpaceDE w:val="0"/>
              <w:autoSpaceDN w:val="0"/>
              <w:adjustRightInd w:val="0"/>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Zonisamide</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w:t>
            </w:r>
          </w:p>
        </w:tc>
      </w:tr>
    </w:tbl>
    <w:p w:rsidR="002821B8" w:rsidRPr="002821B8" w:rsidRDefault="002821B8" w:rsidP="002821B8">
      <w:pPr>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bCs/>
          <w:i/>
          <w:sz w:val="24"/>
          <w:szCs w:val="24"/>
          <w:lang w:val="ro-RO" w:eastAsia="ru-RU"/>
        </w:rPr>
        <w:t xml:space="preserve">Abrevieri: </w:t>
      </w:r>
      <w:r w:rsidRPr="002821B8">
        <w:rPr>
          <w:rFonts w:ascii="Times New Roman" w:eastAsia="Times New Roman" w:hAnsi="Times New Roman" w:cs="Times New Roman"/>
          <w:iCs/>
          <w:sz w:val="24"/>
          <w:szCs w:val="24"/>
          <w:lang w:val="ro-RO" w:eastAsia="ru-RU"/>
        </w:rPr>
        <w:t xml:space="preserve">DAAs, medicamentele antivirale cu acțiune directă; </w:t>
      </w:r>
      <w:r w:rsidRPr="002821B8">
        <w:rPr>
          <w:rFonts w:ascii="Times New Roman" w:eastAsia="Times New Roman" w:hAnsi="Times New Roman" w:cs="Times New Roman"/>
          <w:sz w:val="24"/>
          <w:szCs w:val="24"/>
          <w:lang w:val="ro-RO" w:eastAsia="ru-RU"/>
        </w:rPr>
        <w:t>EBR, elbasvirum*; GLE, glecaprevirum*; GZR, grazoprevirum*; PIB, pibrentasvirum*; SOF, sofosbuvirum*; VEL, velpatasvirum*; VOX, voxilaprevirum*.</w:t>
      </w:r>
    </w:p>
    <w:p w:rsidR="002821B8" w:rsidRPr="002821B8" w:rsidRDefault="002821B8" w:rsidP="002821B8">
      <w:pPr>
        <w:spacing w:after="0" w:line="240" w:lineRule="auto"/>
        <w:rPr>
          <w:rFonts w:ascii="Times New Roman" w:eastAsia="Times New Roman" w:hAnsi="Times New Roman" w:cs="Times New Roman"/>
          <w:b/>
          <w:sz w:val="24"/>
          <w:szCs w:val="24"/>
          <w:lang w:val="ro-RO" w:eastAsia="ru-RU"/>
        </w:rPr>
      </w:pPr>
      <w:r w:rsidRPr="002821B8">
        <w:rPr>
          <w:rFonts w:ascii="Times New Roman" w:eastAsia="Times New Roman" w:hAnsi="Times New Roman" w:cs="Times New Roman"/>
          <w:b/>
          <w:sz w:val="24"/>
          <w:szCs w:val="24"/>
          <w:lang w:val="ro-RO" w:eastAsia="ru-RU"/>
        </w:rPr>
        <w:t xml:space="preserve">Notă: </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Nu există interacțiune medicamentoasă semnificativă;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Interacțiune medicamentoasă potențială care poate necesita ajustarea dozei/modificarea momentului de administrare/monitorizare suplimentară;</w:t>
      </w:r>
    </w:p>
    <w:p w:rsidR="002821B8" w:rsidRPr="002821B8" w:rsidRDefault="002821B8" w:rsidP="002821B8">
      <w:pPr>
        <w:spacing w:after="0" w:line="240" w:lineRule="auto"/>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w:t>
      </w:r>
      <w:r w:rsidRPr="002821B8">
        <w:rPr>
          <w:rFonts w:ascii="Times New Roman" w:eastAsia="Times New Roman" w:hAnsi="Times New Roman" w:cs="Times New Roman"/>
          <w:sz w:val="24"/>
          <w:szCs w:val="24"/>
          <w:lang w:val="ro-RO" w:eastAsia="ru-RU"/>
        </w:rPr>
        <w:t xml:space="preserve"> Aceste medicamente nu trebuie administrate concomitent;</w:t>
      </w:r>
    </w:p>
    <w:p w:rsidR="002821B8" w:rsidRPr="002821B8" w:rsidRDefault="002821B8" w:rsidP="002821B8">
      <w:pPr>
        <w:spacing w:after="0" w:line="240" w:lineRule="auto"/>
        <w:jc w:val="both"/>
        <w:rPr>
          <w:rFonts w:ascii="Times New Roman" w:eastAsia="Times New Roman" w:hAnsi="Times New Roman" w:cs="Times New Roman"/>
          <w:b/>
          <w:i/>
          <w:sz w:val="24"/>
          <w:szCs w:val="24"/>
          <w:lang w:val="ro-RO" w:eastAsia="ru-RU"/>
        </w:rPr>
      </w:pPr>
      <w:r w:rsidRPr="002821B8">
        <w:rPr>
          <w:rFonts w:ascii="Times New Roman" w:eastAsia="Times New Roman" w:hAnsi="Times New Roman" w:cs="Times New Roman"/>
          <w:b/>
          <w:i/>
          <w:sz w:val="24"/>
          <w:szCs w:val="24"/>
          <w:lang w:val="ro-RO" w:eastAsia="ru-RU"/>
        </w:rPr>
        <w:t>Avertizare:</w:t>
      </w:r>
    </w:p>
    <w:p w:rsidR="002821B8" w:rsidRPr="002821B8" w:rsidRDefault="002821B8" w:rsidP="00D8290E">
      <w:pPr>
        <w:numPr>
          <w:ilvl w:val="0"/>
          <w:numId w:val="126"/>
        </w:numPr>
        <w:spacing w:before="100" w:after="0" w:line="240" w:lineRule="auto"/>
        <w:contextualSpacing/>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Unele medicamente pot necesita modificări ale dozei în funcție de funcția hepatică.</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Vă rugăm să consultați eticheta produsului individual pentru recomandări despre dozare.</w:t>
      </w:r>
    </w:p>
    <w:p w:rsidR="002821B8" w:rsidRPr="002821B8" w:rsidRDefault="002821B8" w:rsidP="00D8290E">
      <w:pPr>
        <w:numPr>
          <w:ilvl w:val="0"/>
          <w:numId w:val="126"/>
        </w:numPr>
        <w:spacing w:before="100" w:after="0" w:line="240" w:lineRule="auto"/>
        <w:contextualSpacing/>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Simbolul (</w:t>
      </w:r>
      <w:r w:rsidRPr="002821B8">
        <w:rPr>
          <w:rFonts w:ascii="Times New Roman" w:eastAsia="Times New Roman" w:hAnsi="Times New Roman" w:cs="Times New Roman"/>
          <w:b/>
          <w:sz w:val="24"/>
          <w:szCs w:val="24"/>
          <w:lang w:val="ro-RO" w:eastAsia="ru-RU"/>
        </w:rPr>
        <w:t>+, ±, –</w:t>
      </w:r>
      <w:r w:rsidRPr="002821B8">
        <w:rPr>
          <w:rFonts w:ascii="Times New Roman" w:eastAsia="Times New Roman" w:hAnsi="Times New Roman" w:cs="Times New Roman"/>
          <w:sz w:val="24"/>
          <w:szCs w:val="24"/>
          <w:lang w:val="ro-RO" w:eastAsia="ru-RU"/>
        </w:rPr>
        <w:t>) folosit pentru a clasifica semnificația clinică a interacțiunii medicamentoase se bazează pe www.hep-druginteractions.org (</w:t>
      </w:r>
      <w:r w:rsidRPr="002821B8">
        <w:rPr>
          <w:rFonts w:ascii="Times New Roman" w:eastAsia="Times New Roman" w:hAnsi="Times New Roman" w:cs="Times New Roman"/>
          <w:i/>
          <w:iCs/>
          <w:sz w:val="24"/>
          <w:szCs w:val="24"/>
          <w:lang w:val="ro-RO" w:eastAsia="ru-RU"/>
        </w:rPr>
        <w:t>University of Liverpool</w:t>
      </w:r>
      <w:r w:rsidRPr="002821B8">
        <w:rPr>
          <w:rFonts w:ascii="Times New Roman" w:eastAsia="Times New Roman" w:hAnsi="Times New Roman" w:cs="Times New Roman"/>
          <w:sz w:val="24"/>
          <w:szCs w:val="24"/>
          <w:lang w:val="ro-RO" w:eastAsia="ru-RU"/>
        </w:rPr>
        <w:t xml:space="preserve">). </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Pentru interacțiuni medicamentoase suplimentare și pentru o gamă mai extinsă de medicamente, date detaliate privind interacțiunile farmacocinetice și ajustări ale dozelor, consultați site-ul web www.hep-druginteractions.org.</w:t>
      </w:r>
    </w:p>
    <w:p w:rsidR="002821B8" w:rsidRPr="002821B8" w:rsidRDefault="002821B8" w:rsidP="001A14D9">
      <w:pPr>
        <w:pBdr>
          <w:top w:val="single" w:sz="24" w:space="0" w:color="FFFFFF"/>
          <w:left w:val="single" w:sz="24" w:space="0" w:color="FFFFFF"/>
          <w:bottom w:val="single" w:sz="24" w:space="0" w:color="FFFFFF"/>
          <w:right w:val="single" w:sz="24" w:space="0" w:color="FFFFFF"/>
        </w:pBdr>
        <w:tabs>
          <w:tab w:val="right" w:leader="dot" w:pos="9016"/>
        </w:tabs>
        <w:spacing w:before="120" w:after="0"/>
        <w:jc w:val="both"/>
        <w:outlineLvl w:val="1"/>
        <w:rPr>
          <w:rFonts w:ascii="Times New Roman" w:eastAsia="Times New Roman" w:hAnsi="Times New Roman" w:cs="Times New Roman"/>
          <w:b/>
          <w:spacing w:val="15"/>
          <w:sz w:val="24"/>
          <w:szCs w:val="24"/>
          <w:lang w:val="ro-RO" w:eastAsia="x-none"/>
        </w:rPr>
      </w:pPr>
      <w:r w:rsidRPr="002821B8">
        <w:rPr>
          <w:rFonts w:ascii="Times New Roman" w:eastAsia="Times New Roman" w:hAnsi="Times New Roman" w:cs="Times New Roman"/>
          <w:bCs/>
          <w:spacing w:val="15"/>
          <w:sz w:val="24"/>
          <w:szCs w:val="24"/>
          <w:lang w:val="ro-RO" w:eastAsia="x-none"/>
        </w:rPr>
        <w:br w:type="page"/>
      </w:r>
      <w:bookmarkStart w:id="152" w:name="_Toc177994830"/>
      <w:r w:rsidRPr="002821B8">
        <w:rPr>
          <w:rFonts w:ascii="Times New Roman" w:eastAsia="Times New Roman" w:hAnsi="Times New Roman" w:cs="Times New Roman"/>
          <w:b/>
          <w:spacing w:val="15"/>
          <w:sz w:val="24"/>
          <w:szCs w:val="24"/>
          <w:lang w:val="ro-RO" w:eastAsia="x-none"/>
        </w:rPr>
        <w:lastRenderedPageBreak/>
        <w:t>Anexa 4. Fişa standardizată de audit bazat pe criterii pentru protocolul clinic naţional IDP</w:t>
      </w:r>
      <w:bookmarkEnd w:id="152"/>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362"/>
      </w:tblGrid>
      <w:tr w:rsidR="002821B8" w:rsidRPr="002821B8" w:rsidTr="001A14D9">
        <w:trPr>
          <w:trHeight w:val="33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Domeniul Prompt</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Definiţii şi note</w:t>
            </w:r>
          </w:p>
        </w:tc>
      </w:tr>
      <w:tr w:rsidR="002821B8" w:rsidRPr="00D645AA" w:rsidTr="001A14D9">
        <w:trPr>
          <w:trHeight w:val="302"/>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Denumirea IMSP evaluată prin audit</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 xml:space="preserve"> </w:t>
            </w:r>
          </w:p>
        </w:tc>
      </w:tr>
      <w:tr w:rsidR="002821B8" w:rsidRPr="00D645AA" w:rsidTr="001A14D9">
        <w:trPr>
          <w:trHeight w:val="34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Persoana responsabilă de completarea Fişei</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Nume, prenume, telefon de contact</w:t>
            </w:r>
          </w:p>
        </w:tc>
      </w:tr>
      <w:tr w:rsidR="002821B8" w:rsidRPr="002821B8" w:rsidTr="001A14D9">
        <w:trPr>
          <w:trHeight w:val="189"/>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Perioada de audit</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DD-LL-AAAA</w:t>
            </w:r>
          </w:p>
        </w:tc>
      </w:tr>
      <w:tr w:rsidR="002821B8" w:rsidRPr="00D645AA" w:rsidTr="001A14D9">
        <w:trPr>
          <w:trHeight w:val="421"/>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Nr. de înregistrare a pacientului din </w:t>
            </w:r>
            <w:r w:rsidRPr="002821B8">
              <w:rPr>
                <w:rFonts w:ascii="Times New Roman" w:eastAsia="Calibri" w:hAnsi="Times New Roman" w:cs="Times New Roman"/>
                <w:sz w:val="24"/>
                <w:szCs w:val="24"/>
                <w:lang w:val="ro-RO"/>
              </w:rPr>
              <w:t>„</w:t>
            </w:r>
            <w:r w:rsidRPr="002821B8">
              <w:rPr>
                <w:rFonts w:ascii="Times New Roman" w:eastAsia="Times New Roman" w:hAnsi="Times New Roman" w:cs="Times New Roman"/>
                <w:sz w:val="24"/>
                <w:szCs w:val="24"/>
                <w:lang w:val="ro-RO" w:eastAsia="ru-RU"/>
              </w:rPr>
              <w:t>Registrul de evidenţă a bolilor infecţioase f.060/e"</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 </w:t>
            </w:r>
          </w:p>
        </w:tc>
      </w:tr>
      <w:tr w:rsidR="002821B8" w:rsidRPr="00D645AA" w:rsidTr="001A14D9">
        <w:trPr>
          <w:trHeight w:val="303"/>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Numărul f/m a bolnavului staţionar f.300/e</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 </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Mediul de reşedinţă a pacientului</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0 = urban; 1 = rural; 9 = nu se cunoaşte</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Data de naştere a pacientului</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DD-LL-AAAA sau 9 = necunoscută</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Genul/sexul pacientului</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0 = masculin 1 = feminin 9 = nu este specificat</w:t>
            </w:r>
          </w:p>
        </w:tc>
      </w:tr>
      <w:tr w:rsidR="002821B8" w:rsidRPr="002821B8" w:rsidTr="001A14D9">
        <w:trPr>
          <w:trHeight w:val="300"/>
        </w:trPr>
        <w:tc>
          <w:tcPr>
            <w:tcW w:w="2624" w:type="pct"/>
            <w:shd w:val="clear" w:color="000000" w:fill="FFFFFF"/>
            <w:noWrap/>
            <w:vAlign w:val="bottom"/>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Numele medicului curant</w:t>
            </w:r>
          </w:p>
        </w:tc>
        <w:tc>
          <w:tcPr>
            <w:tcW w:w="2376" w:type="pct"/>
            <w:shd w:val="clear" w:color="000000" w:fill="FFFFFF"/>
            <w:noWrap/>
            <w:vAlign w:val="bottom"/>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 </w:t>
            </w:r>
          </w:p>
        </w:tc>
      </w:tr>
      <w:tr w:rsidR="002821B8" w:rsidRPr="00D645AA" w:rsidTr="001A14D9">
        <w:trPr>
          <w:trHeight w:val="555"/>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Patologia </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IDP = 0; IDP umorală = 1; </w:t>
            </w:r>
            <w:r w:rsidRPr="002821B8">
              <w:rPr>
                <w:rFonts w:ascii="Times New Roman" w:eastAsia="Times New Roman" w:hAnsi="Times New Roman" w:cs="Times New Roman"/>
                <w:i/>
                <w:sz w:val="24"/>
                <w:szCs w:val="24"/>
                <w:lang w:val="ro-RO" w:eastAsia="ru-RU"/>
              </w:rPr>
              <w:t xml:space="preserve">IDP </w:t>
            </w:r>
            <w:r w:rsidRPr="002821B8">
              <w:rPr>
                <w:rFonts w:ascii="Times New Roman" w:eastAsia="Times New Roman" w:hAnsi="Times New Roman" w:cs="Times New Roman"/>
                <w:b/>
                <w:bCs/>
                <w:i/>
                <w:sz w:val="24"/>
                <w:szCs w:val="24"/>
                <w:lang w:val="ro-RO" w:eastAsia="ru-RU"/>
              </w:rPr>
              <w:t>Hepatita virală C cronică la adult</w:t>
            </w:r>
            <w:r w:rsidRPr="002821B8">
              <w:rPr>
                <w:rFonts w:ascii="Times New Roman" w:eastAsia="Times New Roman" w:hAnsi="Times New Roman" w:cs="Times New Roman"/>
                <w:b/>
                <w:bCs/>
                <w:sz w:val="24"/>
                <w:szCs w:val="24"/>
                <w:lang w:val="ro-RO" w:eastAsia="ru-RU"/>
              </w:rPr>
              <w:t xml:space="preserve"> </w:t>
            </w:r>
            <w:r w:rsidRPr="002821B8">
              <w:rPr>
                <w:rFonts w:ascii="Times New Roman" w:eastAsia="Times New Roman" w:hAnsi="Times New Roman" w:cs="Times New Roman"/>
                <w:sz w:val="24"/>
                <w:szCs w:val="24"/>
                <w:lang w:val="ro-RO" w:eastAsia="ru-RU"/>
              </w:rPr>
              <w:t>= 3; IDP neidentificată = 4</w:t>
            </w:r>
          </w:p>
        </w:tc>
      </w:tr>
      <w:tr w:rsidR="002821B8" w:rsidRPr="002821B8" w:rsidTr="001A14D9">
        <w:trPr>
          <w:trHeight w:val="300"/>
        </w:trPr>
        <w:tc>
          <w:tcPr>
            <w:tcW w:w="5000" w:type="pct"/>
            <w:gridSpan w:val="2"/>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INTERNAREA</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Data debutului simptomelor</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Data (DD: MM: AAAA) sau 9 = necunoscută</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Data internării în spital</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DD-LL-AAAA sau 9 = necunoscut</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Timpul/ora internării la spital</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Timpul (HH: MM) sau 9 = necunoscut</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Secţia de internare</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Departamentul de urgenţă = 0; Secţia de profil terapeutic=1; Secţia de profil chirurgical = 2; Secţia de terapie intensivă = 3 </w:t>
            </w:r>
          </w:p>
        </w:tc>
      </w:tr>
      <w:tr w:rsidR="002821B8" w:rsidRPr="00D645AA" w:rsidTr="001A14D9">
        <w:trPr>
          <w:trHeight w:val="78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Transferul pacientului pe parcursul internării în secţia de terapie intensivă în legătură cu agravarea bolii hepatice</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 nu = 0; da = 1; nu se cunoaşte=9</w:t>
            </w:r>
          </w:p>
        </w:tc>
      </w:tr>
      <w:tr w:rsidR="002821B8" w:rsidRPr="002821B8" w:rsidTr="001A14D9">
        <w:trPr>
          <w:trHeight w:val="300"/>
        </w:trPr>
        <w:tc>
          <w:tcPr>
            <w:tcW w:w="5000" w:type="pct"/>
            <w:gridSpan w:val="2"/>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 xml:space="preserve">DIAGNOSTICUL </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Dacă s-au detectat anticorpi anti-HCV, </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ARN-HCV a fost determinat printr-o metodă moleculară sensibilă (limita inferioară de cuantificare</w:t>
            </w:r>
            <w:r w:rsidRPr="002821B8">
              <w:rPr>
                <w:rFonts w:ascii="Times New Roman" w:eastAsia="Times New Roman" w:hAnsi="Times New Roman" w:cs="Times New Roman"/>
                <w:b/>
                <w:bCs/>
                <w:sz w:val="24"/>
                <w:szCs w:val="24"/>
                <w:lang w:val="ro-RO" w:eastAsia="ru-RU"/>
              </w:rPr>
              <w:t xml:space="preserve"> </w:t>
            </w:r>
            <w:r w:rsidRPr="002821B8">
              <w:rPr>
                <w:rFonts w:ascii="Times New Roman" w:eastAsia="Times New Roman" w:hAnsi="Times New Roman" w:cs="Times New Roman"/>
                <w:sz w:val="24"/>
                <w:szCs w:val="24"/>
                <w:lang w:val="ro-RO" w:eastAsia="ru-RU"/>
              </w:rPr>
              <w:t>≤15 UI/ml)</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A fost efectuată: </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nu = 0; da = 1; </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se cunoaşte = 9</w:t>
            </w:r>
          </w:p>
        </w:tc>
      </w:tr>
      <w:tr w:rsidR="002821B8" w:rsidRPr="002821B8" w:rsidTr="001A14D9">
        <w:trPr>
          <w:trHeight w:val="300"/>
        </w:trPr>
        <w:tc>
          <w:tcPr>
            <w:tcW w:w="5000" w:type="pct"/>
            <w:gridSpan w:val="2"/>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
                <w:sz w:val="24"/>
                <w:szCs w:val="24"/>
                <w:lang w:val="ro-RO" w:eastAsia="ru-RU"/>
              </w:rPr>
              <w:t>Evaluarea pre-tratament</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Istoricul tratamentului pentru infecția cu VHC – regimul și răspuns anterior</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evaluat: nu = 0; da = 1; nu se cunoaşte = 2</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Potențial de neaderare</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evaluat: nu = 0; da = 1; nu se cunoaşte = 2</w:t>
            </w:r>
          </w:p>
        </w:tc>
      </w:tr>
      <w:tr w:rsidR="002821B8" w:rsidRPr="00D645AA" w:rsidTr="001A14D9">
        <w:trPr>
          <w:trHeight w:val="51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Evaluarea contribuției comorbidităților la progresia bolii hepatice: Istoricul aportului de alcool</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evaluat: nu = 0; da = 1; nu se cunoaşte = 2</w:t>
            </w:r>
          </w:p>
        </w:tc>
      </w:tr>
      <w:tr w:rsidR="002821B8" w:rsidRPr="00D645AA" w:rsidTr="001A14D9">
        <w:trPr>
          <w:trHeight w:val="510"/>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Evaluarea contribuției comorbidităților la progresia bolii hepatice: Indice de masă corporală</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evaluat: nu = 0; da = 1; nu se cunoaşte = 2</w:t>
            </w:r>
          </w:p>
        </w:tc>
      </w:tr>
      <w:tr w:rsidR="002821B8" w:rsidRPr="00D645AA" w:rsidTr="001A14D9">
        <w:trPr>
          <w:trHeight w:val="274"/>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S-au efectuat măsurile corective pentru </w:t>
            </w:r>
            <w:r w:rsidRPr="002821B8">
              <w:rPr>
                <w:rFonts w:ascii="Times New Roman" w:eastAsia="Times New Roman" w:hAnsi="Times New Roman" w:cs="Times New Roman"/>
                <w:sz w:val="24"/>
                <w:szCs w:val="24"/>
                <w:lang w:val="ro-RO" w:eastAsia="ru-RU"/>
              </w:rPr>
              <w:lastRenderedPageBreak/>
              <w:t>comorbidități</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lastRenderedPageBreak/>
              <w:t xml:space="preserve">Au fost efectuate: nu = 0; da = 1; da – la </w:t>
            </w:r>
            <w:r w:rsidRPr="002821B8">
              <w:rPr>
                <w:rFonts w:ascii="Times New Roman" w:eastAsia="Times New Roman" w:hAnsi="Times New Roman" w:cs="Times New Roman"/>
                <w:sz w:val="24"/>
                <w:szCs w:val="24"/>
                <w:lang w:val="ro-RO" w:eastAsia="ru-RU"/>
              </w:rPr>
              <w:lastRenderedPageBreak/>
              <w:t>etapele precedente -10;nu se cunoaşte = 2</w:t>
            </w:r>
          </w:p>
        </w:tc>
      </w:tr>
      <w:tr w:rsidR="002821B8" w:rsidRPr="002821B8"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lastRenderedPageBreak/>
              <w:t>Dacă a fost studiată funcția renală pentru a determina siguranța tratamentului antiviral:</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ureea, creatinina serică</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Au fost cercetate: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tc>
      </w:tr>
      <w:tr w:rsidR="002821B8" w:rsidRPr="00D645AA" w:rsidTr="001A14D9">
        <w:trPr>
          <w:trHeight w:val="300"/>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Dacă a fost cu calculată rata de filtrare glomerulară estimată (eGFR)</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calculată: nu = 0, da =1;da – la etapele precedente -10</w:t>
            </w:r>
          </w:p>
        </w:tc>
      </w:tr>
      <w:tr w:rsidR="002821B8" w:rsidRPr="002821B8" w:rsidTr="001A14D9">
        <w:trPr>
          <w:trHeight w:val="300"/>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Dacă au fost studiați electroliții</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Au fost cercetați: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tc>
      </w:tr>
      <w:tr w:rsidR="002821B8" w:rsidRPr="002821B8" w:rsidTr="001A14D9">
        <w:trPr>
          <w:trHeight w:val="599"/>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Dacă sunt efectuate cercetările pentru infecțiile cu VHB (AgHBs, anti-HBc, anti-HBs), cu HIV și serologia pentru HAV</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Au fost efectuate: </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 parțial = 2;</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tc>
      </w:tr>
      <w:tr w:rsidR="002821B8" w:rsidRPr="002821B8"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Dacă s-au efectuat teste pentru excluderea altor boli hepatice comune: Saturația transferinei </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Au fost efectuate: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tc>
      </w:tr>
      <w:tr w:rsidR="002821B8" w:rsidRPr="00D645AA"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Dacă s-au efectuat teste pentru excluderea altor boli hepatice comune: Ig G</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Au fost efectuate: </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 da – la etapele precedente -10</w:t>
            </w:r>
          </w:p>
        </w:tc>
      </w:tr>
      <w:tr w:rsidR="002821B8" w:rsidRPr="002821B8"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S-a efectuat electrocardiograma dacă pacientul este în vârstă de &gt; 50 ani sau are factori de risc cardiac sau dacă terapia cu ribavirinum* este planificată (screening pentru boli cardiace ischemice)</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A fost efectuată: nu = 0; da = 1; </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tc>
      </w:tr>
      <w:tr w:rsidR="002821B8" w:rsidRPr="002821B8"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Dacă s-a efectuat hemoleucograma completă cu trombocite și viteza de sedimentare a hematiilor</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efectuată: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tc>
      </w:tr>
      <w:tr w:rsidR="002821B8" w:rsidRPr="00D645AA"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bCs/>
                <w:sz w:val="24"/>
                <w:szCs w:val="24"/>
                <w:lang w:val="ro-RO" w:eastAsia="ru-RU"/>
              </w:rPr>
            </w:pPr>
            <w:r w:rsidRPr="002821B8">
              <w:rPr>
                <w:rFonts w:ascii="Times New Roman" w:eastAsia="Times New Roman" w:hAnsi="Times New Roman" w:cs="Times New Roman"/>
                <w:bCs/>
                <w:sz w:val="24"/>
                <w:szCs w:val="24"/>
                <w:lang w:val="ro-RO" w:eastAsia="ru-RU"/>
              </w:rPr>
              <w:t>Teste hepatice de rutină:</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ALT, AST, FA, bilirubina, albumina, GGTP, raportul normalizat internațional (INR)</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Au fost efectuate: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 parțial - 3</w:t>
            </w:r>
          </w:p>
        </w:tc>
      </w:tr>
      <w:tr w:rsidR="002821B8" w:rsidRPr="00D645AA" w:rsidTr="001A14D9">
        <w:trPr>
          <w:trHeight w:val="340"/>
        </w:trPr>
        <w:tc>
          <w:tcPr>
            <w:tcW w:w="2624" w:type="pct"/>
            <w:shd w:val="clear" w:color="000000" w:fill="FFFFFF"/>
          </w:tcPr>
          <w:p w:rsidR="002821B8" w:rsidRPr="002821B8" w:rsidRDefault="002821B8" w:rsidP="002821B8">
            <w:pPr>
              <w:widowControl w:val="0"/>
              <w:autoSpaceDE w:val="0"/>
              <w:autoSpaceDN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Evaluarea scor APRI</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evaluat: nu = 0; da = 1</w:t>
            </w:r>
          </w:p>
        </w:tc>
      </w:tr>
      <w:tr w:rsidR="002821B8" w:rsidRPr="00D645AA" w:rsidTr="001A14D9">
        <w:trPr>
          <w:trHeight w:val="319"/>
        </w:trPr>
        <w:tc>
          <w:tcPr>
            <w:tcW w:w="2624" w:type="pct"/>
            <w:shd w:val="clear" w:color="000000" w:fill="FFFFFF"/>
          </w:tcPr>
          <w:p w:rsidR="002821B8" w:rsidRPr="002821B8" w:rsidRDefault="002821B8" w:rsidP="002821B8">
            <w:pPr>
              <w:widowControl w:val="0"/>
              <w:autoSpaceDE w:val="0"/>
              <w:autoSpaceDN w:val="0"/>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Evaluarea scor FIB-4</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evaluat: nu = 0; da = 1</w:t>
            </w:r>
          </w:p>
        </w:tc>
      </w:tr>
      <w:tr w:rsidR="002821B8" w:rsidRPr="002821B8"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Efectuarea elastografiei </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efectuată: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tc>
      </w:tr>
      <w:tr w:rsidR="002821B8" w:rsidRPr="002821B8"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Efectuarea ecografiei transabdominale</w:t>
            </w:r>
          </w:p>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efectuată: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tc>
      </w:tr>
      <w:tr w:rsidR="002821B8" w:rsidRPr="002821B8"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Cs/>
                <w:sz w:val="24"/>
                <w:szCs w:val="24"/>
                <w:lang w:val="ro-RO" w:eastAsia="ru-RU"/>
              </w:rPr>
              <w:t xml:space="preserve">Ecografia Doppler Duplex color a sistemului portal </w:t>
            </w:r>
            <w:r w:rsidRPr="002821B8">
              <w:rPr>
                <w:rFonts w:ascii="Times New Roman" w:eastAsia="Times New Roman" w:hAnsi="Times New Roman" w:cs="Times New Roman"/>
                <w:bCs/>
                <w:iCs/>
                <w:sz w:val="24"/>
                <w:szCs w:val="24"/>
                <w:lang w:val="ro-RO" w:eastAsia="ru-RU"/>
              </w:rPr>
              <w:t xml:space="preserve">în scopul </w:t>
            </w:r>
            <w:r w:rsidRPr="002821B8">
              <w:rPr>
                <w:rFonts w:ascii="Times New Roman" w:eastAsia="Times New Roman" w:hAnsi="Times New Roman" w:cs="Times New Roman"/>
                <w:sz w:val="24"/>
                <w:szCs w:val="24"/>
                <w:lang w:val="ro-RO" w:eastAsia="ru-RU"/>
              </w:rPr>
              <w:t>estimării semnelor de hipertensiune portală și/sau a detectării trombozelor în sistemul portal</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efectuată: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p>
        </w:tc>
      </w:tr>
      <w:tr w:rsidR="002821B8" w:rsidRPr="002821B8"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Cs/>
                <w:iCs/>
                <w:sz w:val="24"/>
                <w:szCs w:val="24"/>
                <w:lang w:val="ro-RO" w:eastAsia="ru-RU"/>
              </w:rPr>
              <w:t xml:space="preserve">Efectuarea endoscopiei digestive superioare în scopul </w:t>
            </w:r>
            <w:r w:rsidRPr="002821B8">
              <w:rPr>
                <w:rFonts w:ascii="Times New Roman" w:eastAsia="Times New Roman" w:hAnsi="Times New Roman" w:cs="Times New Roman"/>
                <w:sz w:val="24"/>
                <w:szCs w:val="24"/>
                <w:lang w:val="ro-RO" w:eastAsia="ru-RU"/>
              </w:rPr>
              <w:t>evidențierii semnelor de hipertensiune portală</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efectuată: nu = 0; da = 1;</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 – la etapele precedente -10</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p>
        </w:tc>
      </w:tr>
      <w:tr w:rsidR="002821B8" w:rsidRPr="00D645AA"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bCs/>
                <w:sz w:val="24"/>
                <w:szCs w:val="24"/>
                <w:lang w:val="ro-RO" w:eastAsia="ru-RU"/>
              </w:rPr>
            </w:pPr>
            <w:r w:rsidRPr="002821B8">
              <w:rPr>
                <w:rFonts w:ascii="Times New Roman" w:eastAsia="Times New Roman" w:hAnsi="Times New Roman" w:cs="Times New Roman"/>
                <w:bCs/>
                <w:sz w:val="24"/>
                <w:szCs w:val="24"/>
                <w:lang w:val="ro-RO" w:eastAsia="ru-RU"/>
              </w:rPr>
              <w:t xml:space="preserve">În caz de ciroză hepatică: aprecierea scorului </w:t>
            </w:r>
            <w:r w:rsidRPr="002821B8">
              <w:rPr>
                <w:rFonts w:ascii="Times New Roman" w:eastAsia="Times New Roman" w:hAnsi="Times New Roman" w:cs="Times New Roman"/>
                <w:bCs/>
                <w:i/>
                <w:iCs/>
                <w:sz w:val="24"/>
                <w:szCs w:val="24"/>
                <w:lang w:val="ro-RO" w:eastAsia="ru-RU"/>
              </w:rPr>
              <w:t>Child-Pugh</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efectuată: nu = 0; da = 1</w:t>
            </w:r>
          </w:p>
        </w:tc>
      </w:tr>
      <w:tr w:rsidR="002821B8" w:rsidRPr="00D645AA"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bCs/>
                <w:iCs/>
                <w:sz w:val="24"/>
                <w:szCs w:val="24"/>
                <w:lang w:val="ro-RO" w:eastAsia="ru-RU"/>
              </w:rPr>
            </w:pPr>
            <w:r w:rsidRPr="002821B8">
              <w:rPr>
                <w:rFonts w:ascii="Times New Roman" w:eastAsia="Times New Roman" w:hAnsi="Times New Roman" w:cs="Times New Roman"/>
                <w:bCs/>
                <w:sz w:val="24"/>
                <w:szCs w:val="24"/>
                <w:lang w:val="ro-RO" w:eastAsia="ru-RU"/>
              </w:rPr>
              <w:t xml:space="preserve">În caz de ciroză hepatică: aprecierea scorului </w:t>
            </w:r>
            <w:r w:rsidRPr="002821B8">
              <w:rPr>
                <w:rFonts w:ascii="Times New Roman" w:eastAsia="Times New Roman" w:hAnsi="Times New Roman" w:cs="Times New Roman"/>
                <w:bCs/>
                <w:i/>
                <w:iCs/>
                <w:sz w:val="24"/>
                <w:szCs w:val="24"/>
                <w:lang w:val="ro-RO" w:eastAsia="ru-RU"/>
              </w:rPr>
              <w:t>MELD</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efectuată: nu = 0; da = 1</w:t>
            </w:r>
          </w:p>
        </w:tc>
      </w:tr>
      <w:tr w:rsidR="002821B8" w:rsidRPr="00D645AA" w:rsidTr="001A14D9">
        <w:trPr>
          <w:trHeight w:val="599"/>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bCs/>
                <w:iCs/>
                <w:sz w:val="24"/>
                <w:szCs w:val="24"/>
                <w:lang w:val="ro-RO" w:eastAsia="ru-RU"/>
              </w:rPr>
            </w:pPr>
            <w:r w:rsidRPr="002821B8">
              <w:rPr>
                <w:rFonts w:ascii="Times New Roman" w:eastAsia="Times New Roman" w:hAnsi="Times New Roman" w:cs="Times New Roman"/>
                <w:bCs/>
                <w:sz w:val="24"/>
                <w:szCs w:val="24"/>
                <w:lang w:val="ro-RO" w:eastAsia="ru-RU"/>
              </w:rPr>
              <w:t>Estimarea interacțiunilor medicamentoase este obligatorie atât pre-tratament cât și la necesitate, în cursul tratamentului antiviral</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A fost efectuată: nu = 0; da = 1</w:t>
            </w:r>
          </w:p>
        </w:tc>
      </w:tr>
      <w:tr w:rsidR="002821B8" w:rsidRPr="002821B8" w:rsidTr="001A14D9">
        <w:trPr>
          <w:trHeight w:val="189"/>
        </w:trPr>
        <w:tc>
          <w:tcPr>
            <w:tcW w:w="5000" w:type="pct"/>
            <w:gridSpan w:val="2"/>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ISTORICUL MEDICAL AL PACIENŢILOR</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lastRenderedPageBreak/>
              <w:t xml:space="preserve">Pacienţii internaţi de urgenţă în staţionar </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 nu se cunoaşte = 9</w:t>
            </w:r>
          </w:p>
        </w:tc>
      </w:tr>
      <w:tr w:rsidR="002821B8" w:rsidRPr="00D645AA" w:rsidTr="001A14D9">
        <w:trPr>
          <w:trHeight w:val="197"/>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Pacienţii internaţi programat cu îndreptare de la m/f</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 nu se cunoaşte = 9</w:t>
            </w:r>
          </w:p>
        </w:tc>
      </w:tr>
      <w:tr w:rsidR="002821B8" w:rsidRPr="002821B8"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 xml:space="preserve">TRATAMENTUL </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 xml:space="preserve"> </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Tratament antiviral inițiat până la internare</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 nu se cunoaşte = 9</w:t>
            </w:r>
          </w:p>
        </w:tc>
      </w:tr>
      <w:tr w:rsidR="002821B8" w:rsidRPr="002821B8" w:rsidTr="001A14D9">
        <w:trPr>
          <w:trHeight w:val="383"/>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Tratament antiviral iniţiat în staționar</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w:t>
            </w:r>
          </w:p>
        </w:tc>
      </w:tr>
      <w:tr w:rsidR="002821B8" w:rsidRPr="00D645AA" w:rsidTr="001A14D9">
        <w:trPr>
          <w:trHeight w:val="383"/>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bCs/>
                <w:sz w:val="24"/>
                <w:szCs w:val="24"/>
                <w:lang w:val="ro-RO" w:eastAsia="ru-RU"/>
              </w:rPr>
              <w:t>Monitorizarea siguranței tratamentului antiviral</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A fost efectuată: </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 parțial – 3; nu se cunoaşte = 9</w:t>
            </w:r>
          </w:p>
        </w:tc>
      </w:tr>
      <w:tr w:rsidR="002821B8" w:rsidRPr="00D645AA" w:rsidTr="001A14D9">
        <w:trPr>
          <w:trHeight w:val="383"/>
        </w:trPr>
        <w:tc>
          <w:tcPr>
            <w:tcW w:w="2624" w:type="pct"/>
            <w:shd w:val="clear" w:color="000000" w:fill="FFFFFF"/>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Complicații ale tratamentului antiviral</w:t>
            </w:r>
          </w:p>
        </w:tc>
        <w:tc>
          <w:tcPr>
            <w:tcW w:w="2376" w:type="pct"/>
            <w:shd w:val="clear" w:color="000000" w:fill="FFFFFF"/>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 nu se cunoaşte = 9</w:t>
            </w:r>
          </w:p>
        </w:tc>
      </w:tr>
      <w:tr w:rsidR="002821B8" w:rsidRPr="002821B8"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 xml:space="preserve"> În caz de complicații ale tratamentului antiviral, tratamentul a fost efectuat în conformitate cu recomandările în vigoare ale protocolului</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da = 1; parțial - 3</w:t>
            </w:r>
          </w:p>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p>
        </w:tc>
      </w:tr>
      <w:tr w:rsidR="002821B8" w:rsidRPr="002821B8" w:rsidTr="001A14D9">
        <w:trPr>
          <w:trHeight w:val="300"/>
        </w:trPr>
        <w:tc>
          <w:tcPr>
            <w:tcW w:w="5000" w:type="pct"/>
            <w:gridSpan w:val="2"/>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EXTERNAREA ŞI MEDICAŢIA</w:t>
            </w:r>
          </w:p>
        </w:tc>
      </w:tr>
      <w:tr w:rsidR="002821B8" w:rsidRPr="00D645AA" w:rsidTr="001A14D9">
        <w:trPr>
          <w:trHeight w:val="300"/>
        </w:trPr>
        <w:tc>
          <w:tcPr>
            <w:tcW w:w="2624" w:type="pct"/>
            <w:vMerge w:val="restart"/>
            <w:shd w:val="clear" w:color="000000" w:fill="FFFFFF"/>
            <w:hideMark/>
          </w:tcPr>
          <w:p w:rsidR="002821B8" w:rsidRPr="002821B8" w:rsidRDefault="002821B8" w:rsidP="002821B8">
            <w:pPr>
              <w:spacing w:after="0" w:line="240" w:lineRule="auto"/>
              <w:ind w:left="-284"/>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Data externării sau decesului</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Include data transferului la alt spital, precum şi data decesului.</w:t>
            </w:r>
          </w:p>
        </w:tc>
      </w:tr>
      <w:tr w:rsidR="002821B8" w:rsidRPr="00D645AA" w:rsidTr="001A14D9">
        <w:trPr>
          <w:trHeight w:val="300"/>
        </w:trPr>
        <w:tc>
          <w:tcPr>
            <w:tcW w:w="2624" w:type="pct"/>
            <w:vMerge/>
            <w:vAlign w:val="center"/>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Data externării (ZZ: LL: AAAA) sau 9= necunoscută</w:t>
            </w:r>
          </w:p>
        </w:tc>
      </w:tr>
      <w:tr w:rsidR="002821B8" w:rsidRPr="00D645AA" w:rsidTr="001A14D9">
        <w:trPr>
          <w:trHeight w:val="300"/>
        </w:trPr>
        <w:tc>
          <w:tcPr>
            <w:tcW w:w="2624" w:type="pct"/>
            <w:vMerge/>
            <w:vAlign w:val="center"/>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Data decesului (ZZ: LL: AAAA) sau 9= necunoscută</w:t>
            </w:r>
          </w:p>
        </w:tc>
      </w:tr>
      <w:tr w:rsidR="002821B8" w:rsidRPr="00D645AA" w:rsidTr="001A14D9">
        <w:trPr>
          <w:trHeight w:val="300"/>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Prescrierea tratamentului antiviral la externare</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Externat din spital cu indicarea tratamentului antiviral: nu = 0; da = 1; nu se cunoaşte = 9</w:t>
            </w:r>
          </w:p>
        </w:tc>
      </w:tr>
      <w:tr w:rsidR="002821B8" w:rsidRPr="00D645AA" w:rsidTr="001A14D9">
        <w:trPr>
          <w:trHeight w:val="300"/>
        </w:trPr>
        <w:tc>
          <w:tcPr>
            <w:tcW w:w="5000" w:type="pct"/>
            <w:gridSpan w:val="2"/>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b/>
                <w:bCs/>
                <w:sz w:val="24"/>
                <w:szCs w:val="24"/>
                <w:lang w:val="ro-RO" w:eastAsia="ru-RU"/>
              </w:rPr>
            </w:pPr>
            <w:r w:rsidRPr="002821B8">
              <w:rPr>
                <w:rFonts w:ascii="Times New Roman" w:eastAsia="Times New Roman" w:hAnsi="Times New Roman" w:cs="Times New Roman"/>
                <w:b/>
                <w:bCs/>
                <w:sz w:val="24"/>
                <w:szCs w:val="24"/>
                <w:lang w:val="ro-RO" w:eastAsia="ru-RU"/>
              </w:rPr>
              <w:t>DECESUL PACIENTULUI LA 30 DE ZILE DE LA INTERNARE</w:t>
            </w:r>
          </w:p>
        </w:tc>
      </w:tr>
      <w:tr w:rsidR="002821B8" w:rsidRPr="00D645AA" w:rsidTr="001A14D9">
        <w:trPr>
          <w:trHeight w:val="555"/>
        </w:trPr>
        <w:tc>
          <w:tcPr>
            <w:tcW w:w="2624" w:type="pct"/>
            <w:shd w:val="clear" w:color="000000" w:fill="FFFFFF"/>
            <w:hideMark/>
          </w:tcPr>
          <w:p w:rsidR="002821B8" w:rsidRPr="002821B8" w:rsidRDefault="002821B8" w:rsidP="002821B8">
            <w:pPr>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Decesul în spital</w:t>
            </w:r>
          </w:p>
        </w:tc>
        <w:tc>
          <w:tcPr>
            <w:tcW w:w="2376" w:type="pct"/>
            <w:shd w:val="clear" w:color="000000" w:fill="FFFFFF"/>
            <w:hideMark/>
          </w:tcPr>
          <w:p w:rsidR="002821B8" w:rsidRPr="002821B8" w:rsidRDefault="002821B8" w:rsidP="002821B8">
            <w:pPr>
              <w:tabs>
                <w:tab w:val="left" w:pos="3261"/>
              </w:tabs>
              <w:spacing w:after="0" w:line="240" w:lineRule="auto"/>
              <w:jc w:val="both"/>
              <w:rPr>
                <w:rFonts w:ascii="Times New Roman" w:eastAsia="Times New Roman" w:hAnsi="Times New Roman" w:cs="Times New Roman"/>
                <w:sz w:val="24"/>
                <w:szCs w:val="24"/>
                <w:lang w:val="ro-RO" w:eastAsia="ru-RU"/>
              </w:rPr>
            </w:pPr>
            <w:r w:rsidRPr="002821B8">
              <w:rPr>
                <w:rFonts w:ascii="Times New Roman" w:eastAsia="Times New Roman" w:hAnsi="Times New Roman" w:cs="Times New Roman"/>
                <w:sz w:val="24"/>
                <w:szCs w:val="24"/>
                <w:lang w:val="ro-RO" w:eastAsia="ru-RU"/>
              </w:rPr>
              <w:t>Nu = 0; Decesul cauzat de boala hepatica determinate de VHC = 1; Moartea nu ar fi survenit în absenţa patologiei hepatice = 2; Alte cauze de deces = 3; nu se cunoaşte = 9</w:t>
            </w:r>
          </w:p>
        </w:tc>
      </w:tr>
      <w:bookmarkEnd w:id="148"/>
      <w:bookmarkEnd w:id="149"/>
      <w:bookmarkEnd w:id="150"/>
      <w:bookmarkEnd w:id="151"/>
    </w:tbl>
    <w:p w:rsidR="002821B8" w:rsidRPr="0036613D" w:rsidRDefault="002821B8" w:rsidP="0036613D">
      <w:pPr>
        <w:pStyle w:val="afa"/>
        <w:ind w:left="1080" w:hanging="1080"/>
        <w:rPr>
          <w:b/>
          <w:szCs w:val="24"/>
          <w:lang w:val="en-US"/>
        </w:rPr>
      </w:pPr>
    </w:p>
    <w:p w:rsidR="00420DE3" w:rsidRPr="00314858" w:rsidRDefault="003474F5" w:rsidP="003474F5">
      <w:pPr>
        <w:pStyle w:val="afa"/>
        <w:rPr>
          <w:szCs w:val="24"/>
        </w:rPr>
      </w:pPr>
      <w:r w:rsidRPr="00314858">
        <w:rPr>
          <w:szCs w:val="24"/>
        </w:rPr>
        <w:t xml:space="preserve"> </w:t>
      </w:r>
    </w:p>
    <w:p w:rsidR="00314858" w:rsidRPr="00314858" w:rsidRDefault="00314858" w:rsidP="00314858">
      <w:pPr>
        <w:pStyle w:val="afa"/>
        <w:ind w:left="851"/>
        <w:rPr>
          <w:szCs w:val="24"/>
        </w:rPr>
      </w:pPr>
    </w:p>
    <w:p w:rsidR="0039479B" w:rsidRPr="001A14D9" w:rsidRDefault="0039479B" w:rsidP="001A14D9">
      <w:pPr>
        <w:rPr>
          <w:szCs w:val="24"/>
        </w:rPr>
      </w:pPr>
    </w:p>
    <w:sectPr w:rsidR="0039479B" w:rsidRPr="001A14D9" w:rsidSect="003C1EBC">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399" w:rsidRDefault="00875399" w:rsidP="00777667">
      <w:pPr>
        <w:spacing w:after="0" w:line="240" w:lineRule="auto"/>
      </w:pPr>
      <w:r>
        <w:separator/>
      </w:r>
    </w:p>
  </w:endnote>
  <w:endnote w:type="continuationSeparator" w:id="0">
    <w:p w:rsidR="00875399" w:rsidRDefault="00875399" w:rsidP="00777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PS-BoldMT">
    <w:altName w:val="Times New Roman"/>
    <w:panose1 w:val="00000000000000000000"/>
    <w:charset w:val="00"/>
    <w:family w:val="roman"/>
    <w:notTrueType/>
    <w:pitch w:val="default"/>
  </w:font>
  <w:font w:name="TradeGothic Light">
    <w:altName w:val="Arial"/>
    <w:panose1 w:val="00000000000000000000"/>
    <w:charset w:val="00"/>
    <w:family w:val="swiss"/>
    <w:notTrueType/>
    <w:pitch w:val="default"/>
    <w:sig w:usb0="00000003" w:usb1="00000000" w:usb2="00000000" w:usb3="00000000" w:csb0="00000001" w:csb1="00000000"/>
  </w:font>
  <w:font w:name="Avenir LT Std">
    <w:altName w:val="Yu Gothic"/>
    <w:panose1 w:val="00000000000000000000"/>
    <w:charset w:val="00"/>
    <w:family w:val="swiss"/>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5E5" w:rsidRPr="00603EA8" w:rsidRDefault="008E45E5" w:rsidP="00C50ADD">
    <w:pPr>
      <w:pStyle w:val="a6"/>
      <w:jc w:val="right"/>
      <w:rPr>
        <w:lang w:val="ro-RO"/>
      </w:rPr>
    </w:pPr>
    <w:r w:rsidRPr="00603EA8">
      <w:rPr>
        <w:lang w:val="ro-RO"/>
      </w:rPr>
      <w:fldChar w:fldCharType="begin"/>
    </w:r>
    <w:r w:rsidRPr="00603EA8">
      <w:rPr>
        <w:lang w:val="ro-RO"/>
      </w:rPr>
      <w:instrText xml:space="preserve"> PAGE   \* MERGEFORMAT </w:instrText>
    </w:r>
    <w:r w:rsidRPr="00603EA8">
      <w:rPr>
        <w:lang w:val="ro-RO"/>
      </w:rPr>
      <w:fldChar w:fldCharType="separate"/>
    </w:r>
    <w:r>
      <w:rPr>
        <w:noProof/>
        <w:lang w:val="ro-RO"/>
      </w:rPr>
      <w:t>4</w:t>
    </w:r>
    <w:r w:rsidRPr="00603EA8">
      <w:rPr>
        <w:lang w:val="ro-R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948862"/>
      <w:docPartObj>
        <w:docPartGallery w:val="Page Numbers (Bottom of Page)"/>
        <w:docPartUnique/>
      </w:docPartObj>
    </w:sdtPr>
    <w:sdtEndPr/>
    <w:sdtContent>
      <w:p w:rsidR="008E45E5" w:rsidRDefault="008E45E5">
        <w:pPr>
          <w:pStyle w:val="a6"/>
          <w:jc w:val="right"/>
        </w:pPr>
        <w:r>
          <w:fldChar w:fldCharType="begin"/>
        </w:r>
        <w:r>
          <w:instrText>PAGE   \* MERGEFORMAT</w:instrText>
        </w:r>
        <w:r>
          <w:fldChar w:fldCharType="separate"/>
        </w:r>
        <w:r w:rsidR="00A00DDE" w:rsidRPr="00A00DDE">
          <w:rPr>
            <w:noProof/>
            <w:lang w:val="ru-RU"/>
          </w:rPr>
          <w:t>1</w:t>
        </w:r>
        <w:r>
          <w:fldChar w:fldCharType="end"/>
        </w:r>
      </w:p>
    </w:sdtContent>
  </w:sdt>
  <w:p w:rsidR="008E45E5" w:rsidRPr="00603EA8" w:rsidRDefault="008E45E5" w:rsidP="00C50ADD">
    <w:pPr>
      <w:pStyle w:val="a6"/>
      <w:jc w:val="right"/>
      <w:rPr>
        <w:lang w:val="ro-R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5E5" w:rsidRPr="00603EA8" w:rsidRDefault="008E45E5">
    <w:pPr>
      <w:pStyle w:val="a6"/>
      <w:jc w:val="right"/>
      <w:rPr>
        <w:lang w:val="ro-RO"/>
      </w:rPr>
    </w:pPr>
    <w:r w:rsidRPr="00603EA8">
      <w:rPr>
        <w:lang w:val="ro-RO"/>
      </w:rPr>
      <w:fldChar w:fldCharType="begin"/>
    </w:r>
    <w:r w:rsidRPr="00603EA8">
      <w:rPr>
        <w:lang w:val="ro-RO"/>
      </w:rPr>
      <w:instrText>PAGE   \* MERGEFORMAT</w:instrText>
    </w:r>
    <w:r w:rsidRPr="00603EA8">
      <w:rPr>
        <w:lang w:val="ro-RO"/>
      </w:rPr>
      <w:fldChar w:fldCharType="separate"/>
    </w:r>
    <w:r>
      <w:rPr>
        <w:noProof/>
        <w:lang w:val="ro-RO"/>
      </w:rPr>
      <w:t>6</w:t>
    </w:r>
    <w:r w:rsidRPr="00603EA8">
      <w:rPr>
        <w:lang w:val="ro-RO"/>
      </w:rPr>
      <w:fldChar w:fldCharType="end"/>
    </w:r>
  </w:p>
  <w:p w:rsidR="008E45E5" w:rsidRPr="00603EA8" w:rsidRDefault="008E45E5" w:rsidP="00C50ADD">
    <w:pPr>
      <w:pStyle w:val="a6"/>
      <w:jc w:val="right"/>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399" w:rsidRDefault="00875399" w:rsidP="00777667">
      <w:pPr>
        <w:spacing w:after="0" w:line="240" w:lineRule="auto"/>
      </w:pPr>
      <w:r>
        <w:separator/>
      </w:r>
    </w:p>
  </w:footnote>
  <w:footnote w:type="continuationSeparator" w:id="0">
    <w:p w:rsidR="00875399" w:rsidRDefault="00875399" w:rsidP="007776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DCD"/>
    <w:multiLevelType w:val="hybridMultilevel"/>
    <w:tmpl w:val="38849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334F9B"/>
    <w:multiLevelType w:val="hybridMultilevel"/>
    <w:tmpl w:val="5E22A372"/>
    <w:lvl w:ilvl="0" w:tplc="0409000D">
      <w:start w:val="1"/>
      <w:numFmt w:val="bullet"/>
      <w:lvlText w:val=""/>
      <w:lvlJc w:val="left"/>
      <w:pPr>
        <w:ind w:left="-9609" w:hanging="360"/>
      </w:pPr>
      <w:rPr>
        <w:rFonts w:ascii="Wingdings" w:hAnsi="Wingdings" w:hint="default"/>
      </w:rPr>
    </w:lvl>
    <w:lvl w:ilvl="1" w:tplc="04090003" w:tentative="1">
      <w:start w:val="1"/>
      <w:numFmt w:val="bullet"/>
      <w:lvlText w:val="o"/>
      <w:lvlJc w:val="left"/>
      <w:pPr>
        <w:ind w:left="-8889" w:hanging="360"/>
      </w:pPr>
      <w:rPr>
        <w:rFonts w:ascii="Courier New" w:hAnsi="Courier New" w:cs="Courier New" w:hint="default"/>
      </w:rPr>
    </w:lvl>
    <w:lvl w:ilvl="2" w:tplc="04090005" w:tentative="1">
      <w:start w:val="1"/>
      <w:numFmt w:val="bullet"/>
      <w:lvlText w:val=""/>
      <w:lvlJc w:val="left"/>
      <w:pPr>
        <w:ind w:left="-8169" w:hanging="360"/>
      </w:pPr>
      <w:rPr>
        <w:rFonts w:ascii="Wingdings" w:hAnsi="Wingdings" w:hint="default"/>
      </w:rPr>
    </w:lvl>
    <w:lvl w:ilvl="3" w:tplc="04090001" w:tentative="1">
      <w:start w:val="1"/>
      <w:numFmt w:val="bullet"/>
      <w:lvlText w:val=""/>
      <w:lvlJc w:val="left"/>
      <w:pPr>
        <w:ind w:left="-7449" w:hanging="360"/>
      </w:pPr>
      <w:rPr>
        <w:rFonts w:ascii="Symbol" w:hAnsi="Symbol" w:hint="default"/>
      </w:rPr>
    </w:lvl>
    <w:lvl w:ilvl="4" w:tplc="04090003" w:tentative="1">
      <w:start w:val="1"/>
      <w:numFmt w:val="bullet"/>
      <w:lvlText w:val="o"/>
      <w:lvlJc w:val="left"/>
      <w:pPr>
        <w:ind w:left="-6729" w:hanging="360"/>
      </w:pPr>
      <w:rPr>
        <w:rFonts w:ascii="Courier New" w:hAnsi="Courier New" w:cs="Courier New" w:hint="default"/>
      </w:rPr>
    </w:lvl>
    <w:lvl w:ilvl="5" w:tplc="04090005" w:tentative="1">
      <w:start w:val="1"/>
      <w:numFmt w:val="bullet"/>
      <w:lvlText w:val=""/>
      <w:lvlJc w:val="left"/>
      <w:pPr>
        <w:ind w:left="-600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4569" w:hanging="360"/>
      </w:pPr>
      <w:rPr>
        <w:rFonts w:ascii="Courier New" w:hAnsi="Courier New" w:cs="Courier New" w:hint="default"/>
      </w:rPr>
    </w:lvl>
    <w:lvl w:ilvl="8" w:tplc="04090005" w:tentative="1">
      <w:start w:val="1"/>
      <w:numFmt w:val="bullet"/>
      <w:lvlText w:val=""/>
      <w:lvlJc w:val="left"/>
      <w:pPr>
        <w:ind w:left="-3849" w:hanging="360"/>
      </w:pPr>
      <w:rPr>
        <w:rFonts w:ascii="Wingdings" w:hAnsi="Wingdings" w:hint="default"/>
      </w:rPr>
    </w:lvl>
  </w:abstractNum>
  <w:abstractNum w:abstractNumId="2" w15:restartNumberingAfterBreak="0">
    <w:nsid w:val="007818A7"/>
    <w:multiLevelType w:val="hybridMultilevel"/>
    <w:tmpl w:val="A4921A10"/>
    <w:lvl w:ilvl="0" w:tplc="0409000B">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 w15:restartNumberingAfterBreak="0">
    <w:nsid w:val="008D615F"/>
    <w:multiLevelType w:val="hybridMultilevel"/>
    <w:tmpl w:val="7A881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DB71FF"/>
    <w:multiLevelType w:val="hybridMultilevel"/>
    <w:tmpl w:val="2AD8FD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E14BAD"/>
    <w:multiLevelType w:val="hybridMultilevel"/>
    <w:tmpl w:val="E8E403B0"/>
    <w:lvl w:ilvl="0" w:tplc="2D5CAA2A">
      <w:start w:val="1"/>
      <w:numFmt w:val="bullet"/>
      <w:lvlText w:val="•"/>
      <w:lvlJc w:val="left"/>
      <w:pPr>
        <w:ind w:left="360" w:hanging="360"/>
      </w:pPr>
      <w:rPr>
        <w:rFonts w:ascii="Arial" w:hAnsi="Aria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15:restartNumberingAfterBreak="0">
    <w:nsid w:val="0327207A"/>
    <w:multiLevelType w:val="hybridMultilevel"/>
    <w:tmpl w:val="D3261990"/>
    <w:lvl w:ilvl="0" w:tplc="7EBC6CD4">
      <w:numFmt w:val="bullet"/>
      <w:lvlText w:val="•"/>
      <w:lvlJc w:val="left"/>
      <w:pPr>
        <w:ind w:left="360" w:hanging="360"/>
      </w:pPr>
      <w:rPr>
        <w:rFonts w:hint="default"/>
        <w:sz w:val="22"/>
        <w:szCs w:val="22"/>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36A338C"/>
    <w:multiLevelType w:val="multilevel"/>
    <w:tmpl w:val="8B06F76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73814F7"/>
    <w:multiLevelType w:val="hybridMultilevel"/>
    <w:tmpl w:val="1E60C798"/>
    <w:lvl w:ilvl="0" w:tplc="2D5CAA2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238EB"/>
    <w:multiLevelType w:val="hybridMultilevel"/>
    <w:tmpl w:val="7A58191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7A8779D"/>
    <w:multiLevelType w:val="hybridMultilevel"/>
    <w:tmpl w:val="0E4E3274"/>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60FFB"/>
    <w:multiLevelType w:val="hybridMultilevel"/>
    <w:tmpl w:val="9650E5B2"/>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B33524"/>
    <w:multiLevelType w:val="hybridMultilevel"/>
    <w:tmpl w:val="A7DA012E"/>
    <w:lvl w:ilvl="0" w:tplc="7EBC6CD4">
      <w:numFmt w:val="bullet"/>
      <w:lvlText w:val="•"/>
      <w:lvlJc w:val="left"/>
      <w:pPr>
        <w:ind w:left="360" w:hanging="360"/>
      </w:pPr>
      <w:rPr>
        <w:rFonts w:hint="default"/>
        <w:sz w:val="22"/>
        <w:szCs w:val="22"/>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B9806BE"/>
    <w:multiLevelType w:val="hybridMultilevel"/>
    <w:tmpl w:val="9E1282EE"/>
    <w:lvl w:ilvl="0" w:tplc="47C4876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C5662EC"/>
    <w:multiLevelType w:val="hybridMultilevel"/>
    <w:tmpl w:val="99B2D674"/>
    <w:lvl w:ilvl="0" w:tplc="2D5CAA2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C04A19"/>
    <w:multiLevelType w:val="hybridMultilevel"/>
    <w:tmpl w:val="D122BD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A75FFC"/>
    <w:multiLevelType w:val="hybridMultilevel"/>
    <w:tmpl w:val="E4F8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974ADF"/>
    <w:multiLevelType w:val="hybridMultilevel"/>
    <w:tmpl w:val="2DB6F9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DD270C"/>
    <w:multiLevelType w:val="hybridMultilevel"/>
    <w:tmpl w:val="88CC64D2"/>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DE57EC"/>
    <w:multiLevelType w:val="hybridMultilevel"/>
    <w:tmpl w:val="6C18480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89A7C33"/>
    <w:multiLevelType w:val="hybridMultilevel"/>
    <w:tmpl w:val="2878F47C"/>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F30AB7"/>
    <w:multiLevelType w:val="hybridMultilevel"/>
    <w:tmpl w:val="7F463D96"/>
    <w:lvl w:ilvl="0" w:tplc="2D5CAA2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205E83"/>
    <w:multiLevelType w:val="hybridMultilevel"/>
    <w:tmpl w:val="1B98F6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3A266D"/>
    <w:multiLevelType w:val="hybridMultilevel"/>
    <w:tmpl w:val="A46A02B6"/>
    <w:lvl w:ilvl="0" w:tplc="47C4876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1B9C6BA0"/>
    <w:multiLevelType w:val="hybridMultilevel"/>
    <w:tmpl w:val="6466FA90"/>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005431"/>
    <w:multiLevelType w:val="multilevel"/>
    <w:tmpl w:val="CCB84D94"/>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1C44199C"/>
    <w:multiLevelType w:val="hybridMultilevel"/>
    <w:tmpl w:val="31EE06FA"/>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ECC2F51"/>
    <w:multiLevelType w:val="hybridMultilevel"/>
    <w:tmpl w:val="098482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413676"/>
    <w:multiLevelType w:val="hybridMultilevel"/>
    <w:tmpl w:val="32006F92"/>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F410C2"/>
    <w:multiLevelType w:val="hybridMultilevel"/>
    <w:tmpl w:val="370E70F4"/>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20D24867"/>
    <w:multiLevelType w:val="hybridMultilevel"/>
    <w:tmpl w:val="19AAD23E"/>
    <w:lvl w:ilvl="0" w:tplc="2D5CAA2A">
      <w:start w:val="1"/>
      <w:numFmt w:val="bullet"/>
      <w:lvlText w:val="•"/>
      <w:lvlJc w:val="left"/>
      <w:pPr>
        <w:ind w:left="360" w:hanging="360"/>
      </w:pPr>
      <w:rPr>
        <w:rFonts w:ascii="Arial" w:hAnsi="Aria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1" w15:restartNumberingAfterBreak="0">
    <w:nsid w:val="22170206"/>
    <w:multiLevelType w:val="hybridMultilevel"/>
    <w:tmpl w:val="9E66511E"/>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6F3502"/>
    <w:multiLevelType w:val="hybridMultilevel"/>
    <w:tmpl w:val="B49C76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9E4D9A"/>
    <w:multiLevelType w:val="hybridMultilevel"/>
    <w:tmpl w:val="542698D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30530D8"/>
    <w:multiLevelType w:val="hybridMultilevel"/>
    <w:tmpl w:val="178CC9A0"/>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3B5204B"/>
    <w:multiLevelType w:val="hybridMultilevel"/>
    <w:tmpl w:val="2DF0CC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0E51B3"/>
    <w:multiLevelType w:val="hybridMultilevel"/>
    <w:tmpl w:val="0122DD0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25600A7F"/>
    <w:multiLevelType w:val="hybridMultilevel"/>
    <w:tmpl w:val="D5CEEF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25723BDA"/>
    <w:multiLevelType w:val="hybridMultilevel"/>
    <w:tmpl w:val="B24A30D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5F0284E"/>
    <w:multiLevelType w:val="hybridMultilevel"/>
    <w:tmpl w:val="E5CC73FE"/>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0397B"/>
    <w:multiLevelType w:val="hybridMultilevel"/>
    <w:tmpl w:val="E19E1E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28155981"/>
    <w:multiLevelType w:val="hybridMultilevel"/>
    <w:tmpl w:val="796C7FC6"/>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2C0EAA"/>
    <w:multiLevelType w:val="hybridMultilevel"/>
    <w:tmpl w:val="D22200D4"/>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A80329A"/>
    <w:multiLevelType w:val="hybridMultilevel"/>
    <w:tmpl w:val="E892E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10817"/>
    <w:multiLevelType w:val="hybridMultilevel"/>
    <w:tmpl w:val="2410DA3E"/>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25515F"/>
    <w:multiLevelType w:val="hybridMultilevel"/>
    <w:tmpl w:val="9794B242"/>
    <w:lvl w:ilvl="0" w:tplc="1EA0652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82416C"/>
    <w:multiLevelType w:val="hybridMultilevel"/>
    <w:tmpl w:val="F7D0776A"/>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7" w15:restartNumberingAfterBreak="0">
    <w:nsid w:val="30EB65B1"/>
    <w:multiLevelType w:val="multilevel"/>
    <w:tmpl w:val="80444CEA"/>
    <w:lvl w:ilvl="0">
      <w:start w:val="1"/>
      <w:numFmt w:val="decimal"/>
      <w:lvlText w:val="%1."/>
      <w:lvlJc w:val="left"/>
      <w:pPr>
        <w:ind w:left="360" w:hanging="360"/>
      </w:pPr>
      <w:rPr>
        <w:rFonts w:hint="default"/>
        <w:b w:val="0"/>
        <w:bCs/>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312E691B"/>
    <w:multiLevelType w:val="hybridMultilevel"/>
    <w:tmpl w:val="1ACED1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DE416B"/>
    <w:multiLevelType w:val="hybridMultilevel"/>
    <w:tmpl w:val="73B0888A"/>
    <w:lvl w:ilvl="0" w:tplc="2D5CAA2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2372AA2"/>
    <w:multiLevelType w:val="hybridMultilevel"/>
    <w:tmpl w:val="76A64E0C"/>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D2425D"/>
    <w:multiLevelType w:val="hybridMultilevel"/>
    <w:tmpl w:val="4A6470C8"/>
    <w:lvl w:ilvl="0" w:tplc="04190001">
      <w:start w:val="1"/>
      <w:numFmt w:val="bullet"/>
      <w:lvlText w:val=""/>
      <w:lvlJc w:val="left"/>
      <w:pPr>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33DD6722"/>
    <w:multiLevelType w:val="hybridMultilevel"/>
    <w:tmpl w:val="C2F83776"/>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5425940"/>
    <w:multiLevelType w:val="hybridMultilevel"/>
    <w:tmpl w:val="8218601E"/>
    <w:lvl w:ilvl="0" w:tplc="47C4876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358C07FA"/>
    <w:multiLevelType w:val="hybridMultilevel"/>
    <w:tmpl w:val="595A285E"/>
    <w:lvl w:ilvl="0" w:tplc="7EBC6CD4">
      <w:numFmt w:val="bullet"/>
      <w:lvlText w:val="•"/>
      <w:lvlJc w:val="left"/>
      <w:pPr>
        <w:ind w:left="360" w:hanging="360"/>
      </w:pPr>
      <w:rPr>
        <w:rFonts w:hint="default"/>
        <w:sz w:val="22"/>
        <w:szCs w:val="22"/>
        <w:lang w:val="ru-RU" w:eastAsia="ru-RU" w:bidi="ru-RU"/>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36157DDA"/>
    <w:multiLevelType w:val="hybridMultilevel"/>
    <w:tmpl w:val="F548864E"/>
    <w:lvl w:ilvl="0" w:tplc="7EBC6CD4">
      <w:numFmt w:val="bullet"/>
      <w:lvlText w:val="•"/>
      <w:lvlJc w:val="left"/>
      <w:pPr>
        <w:ind w:left="360" w:hanging="360"/>
      </w:pPr>
      <w:rPr>
        <w:rFonts w:hint="default"/>
        <w:sz w:val="22"/>
        <w:szCs w:val="22"/>
        <w:lang w:val="ru-RU" w:eastAsia="ru-RU" w:bidi="ru-R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88E6989"/>
    <w:multiLevelType w:val="hybridMultilevel"/>
    <w:tmpl w:val="E4FC4B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38AF56B0"/>
    <w:multiLevelType w:val="hybridMultilevel"/>
    <w:tmpl w:val="EC9C9C8A"/>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BF2C3C"/>
    <w:multiLevelType w:val="hybridMultilevel"/>
    <w:tmpl w:val="6D60615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39A530F3"/>
    <w:multiLevelType w:val="hybridMultilevel"/>
    <w:tmpl w:val="27D686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D2619A"/>
    <w:multiLevelType w:val="hybridMultilevel"/>
    <w:tmpl w:val="832CA1D8"/>
    <w:lvl w:ilvl="0" w:tplc="7EBC6CD4">
      <w:numFmt w:val="bullet"/>
      <w:lvlText w:val="•"/>
      <w:lvlJc w:val="left"/>
      <w:pPr>
        <w:ind w:left="360" w:hanging="360"/>
      </w:pPr>
      <w:rPr>
        <w:rFonts w:hint="default"/>
        <w:sz w:val="22"/>
        <w:szCs w:val="22"/>
        <w:lang w:val="ru-RU" w:eastAsia="ru-RU" w:bidi="ru-R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A033922"/>
    <w:multiLevelType w:val="hybridMultilevel"/>
    <w:tmpl w:val="1520F1F6"/>
    <w:lvl w:ilvl="0" w:tplc="47C4876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A2E35B8"/>
    <w:multiLevelType w:val="hybridMultilevel"/>
    <w:tmpl w:val="36F26A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AA93719"/>
    <w:multiLevelType w:val="hybridMultilevel"/>
    <w:tmpl w:val="F0FA4626"/>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C71158"/>
    <w:multiLevelType w:val="hybridMultilevel"/>
    <w:tmpl w:val="0B4E014A"/>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C177EA9"/>
    <w:multiLevelType w:val="hybridMultilevel"/>
    <w:tmpl w:val="CA58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10F306B"/>
    <w:multiLevelType w:val="hybridMultilevel"/>
    <w:tmpl w:val="890290A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15D4362"/>
    <w:multiLevelType w:val="hybridMultilevel"/>
    <w:tmpl w:val="DD7ED074"/>
    <w:lvl w:ilvl="0" w:tplc="04190005">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480" w:hanging="360"/>
      </w:pPr>
      <w:rPr>
        <w:rFonts w:ascii="Wingdings" w:hAnsi="Wingdings" w:hint="default"/>
      </w:rPr>
    </w:lvl>
    <w:lvl w:ilvl="3" w:tplc="04190001" w:tentative="1">
      <w:start w:val="1"/>
      <w:numFmt w:val="bullet"/>
      <w:lvlText w:val=""/>
      <w:lvlJc w:val="left"/>
      <w:pPr>
        <w:ind w:left="240" w:hanging="360"/>
      </w:pPr>
      <w:rPr>
        <w:rFonts w:ascii="Symbol" w:hAnsi="Symbol" w:hint="default"/>
      </w:rPr>
    </w:lvl>
    <w:lvl w:ilvl="4" w:tplc="04190003" w:tentative="1">
      <w:start w:val="1"/>
      <w:numFmt w:val="bullet"/>
      <w:lvlText w:val="o"/>
      <w:lvlJc w:val="left"/>
      <w:pPr>
        <w:ind w:left="960" w:hanging="360"/>
      </w:pPr>
      <w:rPr>
        <w:rFonts w:ascii="Courier New" w:hAnsi="Courier New" w:cs="Courier New" w:hint="default"/>
      </w:rPr>
    </w:lvl>
    <w:lvl w:ilvl="5" w:tplc="04190005" w:tentative="1">
      <w:start w:val="1"/>
      <w:numFmt w:val="bullet"/>
      <w:lvlText w:val=""/>
      <w:lvlJc w:val="left"/>
      <w:pPr>
        <w:ind w:left="1680" w:hanging="360"/>
      </w:pPr>
      <w:rPr>
        <w:rFonts w:ascii="Wingdings" w:hAnsi="Wingdings" w:hint="default"/>
      </w:rPr>
    </w:lvl>
    <w:lvl w:ilvl="6" w:tplc="04190001" w:tentative="1">
      <w:start w:val="1"/>
      <w:numFmt w:val="bullet"/>
      <w:lvlText w:val=""/>
      <w:lvlJc w:val="left"/>
      <w:pPr>
        <w:ind w:left="2400" w:hanging="360"/>
      </w:pPr>
      <w:rPr>
        <w:rFonts w:ascii="Symbol" w:hAnsi="Symbol" w:hint="default"/>
      </w:rPr>
    </w:lvl>
    <w:lvl w:ilvl="7" w:tplc="04190003" w:tentative="1">
      <w:start w:val="1"/>
      <w:numFmt w:val="bullet"/>
      <w:lvlText w:val="o"/>
      <w:lvlJc w:val="left"/>
      <w:pPr>
        <w:ind w:left="3120" w:hanging="360"/>
      </w:pPr>
      <w:rPr>
        <w:rFonts w:ascii="Courier New" w:hAnsi="Courier New" w:cs="Courier New" w:hint="default"/>
      </w:rPr>
    </w:lvl>
    <w:lvl w:ilvl="8" w:tplc="04190005" w:tentative="1">
      <w:start w:val="1"/>
      <w:numFmt w:val="bullet"/>
      <w:lvlText w:val=""/>
      <w:lvlJc w:val="left"/>
      <w:pPr>
        <w:ind w:left="3840" w:hanging="360"/>
      </w:pPr>
      <w:rPr>
        <w:rFonts w:ascii="Wingdings" w:hAnsi="Wingdings" w:hint="default"/>
      </w:rPr>
    </w:lvl>
  </w:abstractNum>
  <w:abstractNum w:abstractNumId="68" w15:restartNumberingAfterBreak="0">
    <w:nsid w:val="41C13CF5"/>
    <w:multiLevelType w:val="hybridMultilevel"/>
    <w:tmpl w:val="92F8C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FA3378"/>
    <w:multiLevelType w:val="hybridMultilevel"/>
    <w:tmpl w:val="9A9020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986042"/>
    <w:multiLevelType w:val="hybridMultilevel"/>
    <w:tmpl w:val="B1D6CB7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3AD146C"/>
    <w:multiLevelType w:val="hybridMultilevel"/>
    <w:tmpl w:val="4B568FCE"/>
    <w:lvl w:ilvl="0" w:tplc="2D5CAA2A">
      <w:start w:val="1"/>
      <w:numFmt w:val="bullet"/>
      <w:lvlText w:val="•"/>
      <w:lvlJc w:val="left"/>
      <w:pPr>
        <w:ind w:left="0" w:hanging="360"/>
      </w:pPr>
      <w:rPr>
        <w:rFonts w:ascii="Arial" w:hAnsi="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2" w15:restartNumberingAfterBreak="0">
    <w:nsid w:val="45924434"/>
    <w:multiLevelType w:val="hybridMultilevel"/>
    <w:tmpl w:val="7DBE78A8"/>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4B6A22"/>
    <w:multiLevelType w:val="hybridMultilevel"/>
    <w:tmpl w:val="B2F4C1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6306C0"/>
    <w:multiLevelType w:val="hybridMultilevel"/>
    <w:tmpl w:val="597C71F4"/>
    <w:lvl w:ilvl="0" w:tplc="7EBC6CD4">
      <w:numFmt w:val="bullet"/>
      <w:lvlText w:val="•"/>
      <w:lvlJc w:val="left"/>
      <w:pPr>
        <w:ind w:left="720" w:hanging="360"/>
      </w:pPr>
      <w:rPr>
        <w:rFonts w:hint="default"/>
        <w:sz w:val="22"/>
        <w:szCs w:val="22"/>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9EC271F"/>
    <w:multiLevelType w:val="hybridMultilevel"/>
    <w:tmpl w:val="6242E9AA"/>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B62289F"/>
    <w:multiLevelType w:val="hybridMultilevel"/>
    <w:tmpl w:val="946EE528"/>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B64746A"/>
    <w:multiLevelType w:val="hybridMultilevel"/>
    <w:tmpl w:val="85B038FE"/>
    <w:lvl w:ilvl="0" w:tplc="4D40FE00">
      <w:numFmt w:val="bullet"/>
      <w:lvlText w:val="•"/>
      <w:lvlJc w:val="left"/>
      <w:pPr>
        <w:tabs>
          <w:tab w:val="num" w:pos="360"/>
        </w:tabs>
        <w:ind w:left="360" w:hanging="360"/>
      </w:pPr>
      <w:rPr>
        <w:rFonts w:ascii="Times New Roman" w:eastAsia="Times New Roman" w:hAnsi="Times New Roman" w:cs="Times New Roman" w:hint="default"/>
      </w:rPr>
    </w:lvl>
    <w:lvl w:ilvl="1" w:tplc="0409000B">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4CBE6776"/>
    <w:multiLevelType w:val="hybridMultilevel"/>
    <w:tmpl w:val="2898CB3A"/>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D8F36E2"/>
    <w:multiLevelType w:val="hybridMultilevel"/>
    <w:tmpl w:val="BF0488D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4E3754C2"/>
    <w:multiLevelType w:val="hybridMultilevel"/>
    <w:tmpl w:val="E258D36C"/>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1E76BA"/>
    <w:multiLevelType w:val="hybridMultilevel"/>
    <w:tmpl w:val="56241CB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F9977DB"/>
    <w:multiLevelType w:val="hybridMultilevel"/>
    <w:tmpl w:val="305466BA"/>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1236BF7"/>
    <w:multiLevelType w:val="hybridMultilevel"/>
    <w:tmpl w:val="3B86FB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15B4CA9"/>
    <w:multiLevelType w:val="hybridMultilevel"/>
    <w:tmpl w:val="60E24DEA"/>
    <w:lvl w:ilvl="0" w:tplc="47C48762">
      <w:numFmt w:val="bullet"/>
      <w:lvlText w:val="•"/>
      <w:lvlJc w:val="left"/>
      <w:pPr>
        <w:ind w:left="837" w:hanging="360"/>
      </w:pPr>
      <w:rPr>
        <w:rFonts w:ascii="Times New Roman" w:eastAsia="Calibri" w:hAnsi="Times New Roman" w:cs="Times New Roman"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85" w15:restartNumberingAfterBreak="0">
    <w:nsid w:val="51A45579"/>
    <w:multiLevelType w:val="hybridMultilevel"/>
    <w:tmpl w:val="ABE27AC0"/>
    <w:lvl w:ilvl="0" w:tplc="98C09E50">
      <w:start w:val="1"/>
      <w:numFmt w:val="bullet"/>
      <w:lvlText w:val="•"/>
      <w:lvlJc w:val="left"/>
      <w:pPr>
        <w:ind w:left="170"/>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lvl w:ilvl="1" w:tplc="00CCC99E">
      <w:start w:val="1"/>
      <w:numFmt w:val="bullet"/>
      <w:lvlText w:val="o"/>
      <w:lvlJc w:val="left"/>
      <w:pPr>
        <w:ind w:left="1193"/>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lvl w:ilvl="2" w:tplc="48A65CC4">
      <w:start w:val="1"/>
      <w:numFmt w:val="bullet"/>
      <w:lvlText w:val="▪"/>
      <w:lvlJc w:val="left"/>
      <w:pPr>
        <w:ind w:left="1913"/>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lvl w:ilvl="3" w:tplc="473EA76E">
      <w:start w:val="1"/>
      <w:numFmt w:val="bullet"/>
      <w:lvlText w:val="•"/>
      <w:lvlJc w:val="left"/>
      <w:pPr>
        <w:ind w:left="2633"/>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lvl w:ilvl="4" w:tplc="A4FCD670">
      <w:start w:val="1"/>
      <w:numFmt w:val="bullet"/>
      <w:lvlText w:val="o"/>
      <w:lvlJc w:val="left"/>
      <w:pPr>
        <w:ind w:left="3353"/>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lvl w:ilvl="5" w:tplc="402AE2A8">
      <w:start w:val="1"/>
      <w:numFmt w:val="bullet"/>
      <w:lvlText w:val="▪"/>
      <w:lvlJc w:val="left"/>
      <w:pPr>
        <w:ind w:left="4073"/>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lvl w:ilvl="6" w:tplc="F24266BA">
      <w:start w:val="1"/>
      <w:numFmt w:val="bullet"/>
      <w:lvlText w:val="•"/>
      <w:lvlJc w:val="left"/>
      <w:pPr>
        <w:ind w:left="4793"/>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lvl w:ilvl="7" w:tplc="8EE0AEB0">
      <w:start w:val="1"/>
      <w:numFmt w:val="bullet"/>
      <w:lvlText w:val="o"/>
      <w:lvlJc w:val="left"/>
      <w:pPr>
        <w:ind w:left="5513"/>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lvl w:ilvl="8" w:tplc="266C7EC4">
      <w:start w:val="1"/>
      <w:numFmt w:val="bullet"/>
      <w:lvlText w:val="▪"/>
      <w:lvlJc w:val="left"/>
      <w:pPr>
        <w:ind w:left="6233"/>
      </w:pPr>
      <w:rPr>
        <w:rFonts w:ascii="Calibri" w:eastAsia="Calibri" w:hAnsi="Calibri" w:cs="Calibri"/>
        <w:b w:val="0"/>
        <w:i w:val="0"/>
        <w:strike w:val="0"/>
        <w:dstrike w:val="0"/>
        <w:color w:val="5F9093"/>
        <w:sz w:val="16"/>
        <w:szCs w:val="16"/>
        <w:u w:val="none" w:color="000000"/>
        <w:bdr w:val="none" w:sz="0" w:space="0" w:color="auto"/>
        <w:shd w:val="clear" w:color="auto" w:fill="auto"/>
        <w:vertAlign w:val="baseline"/>
      </w:rPr>
    </w:lvl>
  </w:abstractNum>
  <w:abstractNum w:abstractNumId="86" w15:restartNumberingAfterBreak="0">
    <w:nsid w:val="51A569DE"/>
    <w:multiLevelType w:val="hybridMultilevel"/>
    <w:tmpl w:val="7F86A6F6"/>
    <w:lvl w:ilvl="0" w:tplc="BB2AC7A4">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2B82CC9"/>
    <w:multiLevelType w:val="hybridMultilevel"/>
    <w:tmpl w:val="D3168908"/>
    <w:lvl w:ilvl="0" w:tplc="08190001">
      <w:start w:val="1"/>
      <w:numFmt w:val="bullet"/>
      <w:lvlText w:val=""/>
      <w:lvlJc w:val="left"/>
      <w:pPr>
        <w:ind w:left="720" w:hanging="360"/>
      </w:pPr>
      <w:rPr>
        <w:rFonts w:ascii="Symbol" w:hAnsi="Symbol" w:hint="default"/>
      </w:rPr>
    </w:lvl>
    <w:lvl w:ilvl="1" w:tplc="08190003">
      <w:start w:val="1"/>
      <w:numFmt w:val="bullet"/>
      <w:lvlText w:val="o"/>
      <w:lvlJc w:val="left"/>
      <w:pPr>
        <w:ind w:left="1440" w:hanging="360"/>
      </w:pPr>
      <w:rPr>
        <w:rFonts w:ascii="Courier New" w:hAnsi="Courier New" w:cs="Courier New" w:hint="default"/>
      </w:rPr>
    </w:lvl>
    <w:lvl w:ilvl="2" w:tplc="08190005">
      <w:start w:val="1"/>
      <w:numFmt w:val="bullet"/>
      <w:lvlText w:val=""/>
      <w:lvlJc w:val="left"/>
      <w:pPr>
        <w:ind w:left="2160" w:hanging="360"/>
      </w:pPr>
      <w:rPr>
        <w:rFonts w:ascii="Wingdings" w:hAnsi="Wingdings" w:hint="default"/>
      </w:rPr>
    </w:lvl>
    <w:lvl w:ilvl="3" w:tplc="08190001">
      <w:start w:val="1"/>
      <w:numFmt w:val="bullet"/>
      <w:lvlText w:val=""/>
      <w:lvlJc w:val="left"/>
      <w:pPr>
        <w:ind w:left="2880" w:hanging="360"/>
      </w:pPr>
      <w:rPr>
        <w:rFonts w:ascii="Symbol" w:hAnsi="Symbol" w:hint="default"/>
      </w:rPr>
    </w:lvl>
    <w:lvl w:ilvl="4" w:tplc="08190003">
      <w:start w:val="1"/>
      <w:numFmt w:val="bullet"/>
      <w:lvlText w:val="o"/>
      <w:lvlJc w:val="left"/>
      <w:pPr>
        <w:ind w:left="3600" w:hanging="360"/>
      </w:pPr>
      <w:rPr>
        <w:rFonts w:ascii="Courier New" w:hAnsi="Courier New" w:cs="Courier New" w:hint="default"/>
      </w:rPr>
    </w:lvl>
    <w:lvl w:ilvl="5" w:tplc="08190005">
      <w:start w:val="1"/>
      <w:numFmt w:val="bullet"/>
      <w:lvlText w:val=""/>
      <w:lvlJc w:val="left"/>
      <w:pPr>
        <w:ind w:left="4320" w:hanging="360"/>
      </w:pPr>
      <w:rPr>
        <w:rFonts w:ascii="Wingdings" w:hAnsi="Wingdings" w:hint="default"/>
      </w:rPr>
    </w:lvl>
    <w:lvl w:ilvl="6" w:tplc="08190001">
      <w:start w:val="1"/>
      <w:numFmt w:val="bullet"/>
      <w:lvlText w:val=""/>
      <w:lvlJc w:val="left"/>
      <w:pPr>
        <w:ind w:left="5040" w:hanging="360"/>
      </w:pPr>
      <w:rPr>
        <w:rFonts w:ascii="Symbol" w:hAnsi="Symbol" w:hint="default"/>
      </w:rPr>
    </w:lvl>
    <w:lvl w:ilvl="7" w:tplc="08190003">
      <w:start w:val="1"/>
      <w:numFmt w:val="bullet"/>
      <w:lvlText w:val="o"/>
      <w:lvlJc w:val="left"/>
      <w:pPr>
        <w:ind w:left="5760" w:hanging="360"/>
      </w:pPr>
      <w:rPr>
        <w:rFonts w:ascii="Courier New" w:hAnsi="Courier New" w:cs="Courier New" w:hint="default"/>
      </w:rPr>
    </w:lvl>
    <w:lvl w:ilvl="8" w:tplc="08190005">
      <w:start w:val="1"/>
      <w:numFmt w:val="bullet"/>
      <w:lvlText w:val=""/>
      <w:lvlJc w:val="left"/>
      <w:pPr>
        <w:ind w:left="6480" w:hanging="360"/>
      </w:pPr>
      <w:rPr>
        <w:rFonts w:ascii="Wingdings" w:hAnsi="Wingdings" w:hint="default"/>
      </w:rPr>
    </w:lvl>
  </w:abstractNum>
  <w:abstractNum w:abstractNumId="88" w15:restartNumberingAfterBreak="0">
    <w:nsid w:val="53F6440D"/>
    <w:multiLevelType w:val="hybridMultilevel"/>
    <w:tmpl w:val="E726284E"/>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37782D"/>
    <w:multiLevelType w:val="hybridMultilevel"/>
    <w:tmpl w:val="3F26ED10"/>
    <w:lvl w:ilvl="0" w:tplc="0409000D">
      <w:start w:val="1"/>
      <w:numFmt w:val="bullet"/>
      <w:lvlText w:val=""/>
      <w:lvlJc w:val="left"/>
      <w:pPr>
        <w:ind w:left="360" w:hanging="360"/>
      </w:pPr>
      <w:rPr>
        <w:rFonts w:ascii="Wingdings" w:hAnsi="Wingdings" w:hint="default"/>
        <w:sz w:val="22"/>
        <w:szCs w:val="22"/>
        <w:lang w:val="ru-RU" w:eastAsia="ru-RU" w:bidi="ru-R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59903AA"/>
    <w:multiLevelType w:val="hybridMultilevel"/>
    <w:tmpl w:val="76D8D2A8"/>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69266BC"/>
    <w:multiLevelType w:val="hybridMultilevel"/>
    <w:tmpl w:val="FAD2C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77033C5"/>
    <w:multiLevelType w:val="hybridMultilevel"/>
    <w:tmpl w:val="B11AB900"/>
    <w:lvl w:ilvl="0" w:tplc="4D40FE00">
      <w:numFmt w:val="bullet"/>
      <w:lvlText w:val="•"/>
      <w:lvlJc w:val="left"/>
      <w:pPr>
        <w:tabs>
          <w:tab w:val="num" w:pos="360"/>
        </w:tabs>
        <w:ind w:left="360" w:hanging="360"/>
      </w:pPr>
      <w:rPr>
        <w:rFonts w:ascii="Times New Roman" w:eastAsia="Times New Roman" w:hAnsi="Times New Roman" w:cs="Times New Roman" w:hint="default"/>
      </w:rPr>
    </w:lvl>
    <w:lvl w:ilvl="1" w:tplc="0409000B">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59F12F75"/>
    <w:multiLevelType w:val="hybridMultilevel"/>
    <w:tmpl w:val="CE1A4FDE"/>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715E2D"/>
    <w:multiLevelType w:val="hybridMultilevel"/>
    <w:tmpl w:val="612C3E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B3C5BE7"/>
    <w:multiLevelType w:val="hybridMultilevel"/>
    <w:tmpl w:val="078240E4"/>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B883792"/>
    <w:multiLevelType w:val="hybridMultilevel"/>
    <w:tmpl w:val="24CAAE84"/>
    <w:lvl w:ilvl="0" w:tplc="2D5CAA2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BAB7999"/>
    <w:multiLevelType w:val="hybridMultilevel"/>
    <w:tmpl w:val="7FC071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BFD3700"/>
    <w:multiLevelType w:val="hybridMultilevel"/>
    <w:tmpl w:val="6DE2F6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D014232"/>
    <w:multiLevelType w:val="hybridMultilevel"/>
    <w:tmpl w:val="5236378A"/>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DD916EE"/>
    <w:multiLevelType w:val="hybridMultilevel"/>
    <w:tmpl w:val="DA1A9748"/>
    <w:lvl w:ilvl="0" w:tplc="47C4876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EC31ED6"/>
    <w:multiLevelType w:val="hybridMultilevel"/>
    <w:tmpl w:val="7B1672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3E551E"/>
    <w:multiLevelType w:val="hybridMultilevel"/>
    <w:tmpl w:val="D808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534DC6"/>
    <w:multiLevelType w:val="hybridMultilevel"/>
    <w:tmpl w:val="BFB877FC"/>
    <w:lvl w:ilvl="0" w:tplc="2D5CAA2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F516DC"/>
    <w:multiLevelType w:val="hybridMultilevel"/>
    <w:tmpl w:val="C5EECE22"/>
    <w:lvl w:ilvl="0" w:tplc="47C4876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3462FFC"/>
    <w:multiLevelType w:val="hybridMultilevel"/>
    <w:tmpl w:val="D8E0C2FE"/>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37E2DEA"/>
    <w:multiLevelType w:val="hybridMultilevel"/>
    <w:tmpl w:val="51967BDA"/>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8F1FA4"/>
    <w:multiLevelType w:val="hybridMultilevel"/>
    <w:tmpl w:val="29D0570C"/>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4E3330F"/>
    <w:multiLevelType w:val="hybridMultilevel"/>
    <w:tmpl w:val="107249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51B142E"/>
    <w:multiLevelType w:val="hybridMultilevel"/>
    <w:tmpl w:val="CC2060D8"/>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6DF4771"/>
    <w:multiLevelType w:val="hybridMultilevel"/>
    <w:tmpl w:val="E1C26CE2"/>
    <w:lvl w:ilvl="0" w:tplc="2D5CAA2A">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8B52DF2"/>
    <w:multiLevelType w:val="hybridMultilevel"/>
    <w:tmpl w:val="2D7EB806"/>
    <w:lvl w:ilvl="0" w:tplc="47C4876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691170FA"/>
    <w:multiLevelType w:val="hybridMultilevel"/>
    <w:tmpl w:val="DC8A3F92"/>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AB7066"/>
    <w:multiLevelType w:val="hybridMultilevel"/>
    <w:tmpl w:val="945AAE9C"/>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EA32B55"/>
    <w:multiLevelType w:val="hybridMultilevel"/>
    <w:tmpl w:val="059EBDF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0A832DD"/>
    <w:multiLevelType w:val="hybridMultilevel"/>
    <w:tmpl w:val="E7BCA128"/>
    <w:lvl w:ilvl="0" w:tplc="2D5CAA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0A35E1"/>
    <w:multiLevelType w:val="hybridMultilevel"/>
    <w:tmpl w:val="6678970A"/>
    <w:lvl w:ilvl="0" w:tplc="2D5CAA2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2DB7F4D"/>
    <w:multiLevelType w:val="hybridMultilevel"/>
    <w:tmpl w:val="20269594"/>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50A4529"/>
    <w:multiLevelType w:val="hybridMultilevel"/>
    <w:tmpl w:val="EE2A5F2C"/>
    <w:lvl w:ilvl="0" w:tplc="2D5CAA2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510424F"/>
    <w:multiLevelType w:val="hybridMultilevel"/>
    <w:tmpl w:val="1A5A5F64"/>
    <w:lvl w:ilvl="0" w:tplc="0409000D">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20" w15:restartNumberingAfterBreak="0">
    <w:nsid w:val="75225E65"/>
    <w:multiLevelType w:val="hybridMultilevel"/>
    <w:tmpl w:val="2FE23F5E"/>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1C34D3"/>
    <w:multiLevelType w:val="hybridMultilevel"/>
    <w:tmpl w:val="D7EE4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751277D"/>
    <w:multiLevelType w:val="hybridMultilevel"/>
    <w:tmpl w:val="2D2AFA1E"/>
    <w:lvl w:ilvl="0" w:tplc="47C48762">
      <w:numFmt w:val="bullet"/>
      <w:lvlText w:val="•"/>
      <w:lvlJc w:val="left"/>
      <w:pPr>
        <w:ind w:left="1320" w:hanging="360"/>
      </w:pPr>
      <w:rPr>
        <w:rFonts w:ascii="Times New Roman" w:eastAsia="Calibri"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23" w15:restartNumberingAfterBreak="0">
    <w:nsid w:val="79255A97"/>
    <w:multiLevelType w:val="hybridMultilevel"/>
    <w:tmpl w:val="350EDB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9BB58A3"/>
    <w:multiLevelType w:val="hybridMultilevel"/>
    <w:tmpl w:val="525614DA"/>
    <w:lvl w:ilvl="0" w:tplc="2D5CAA2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002F32"/>
    <w:multiLevelType w:val="hybridMultilevel"/>
    <w:tmpl w:val="862A9384"/>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BD60733"/>
    <w:multiLevelType w:val="hybridMultilevel"/>
    <w:tmpl w:val="A40251D4"/>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475D12"/>
    <w:multiLevelType w:val="hybridMultilevel"/>
    <w:tmpl w:val="704ED50C"/>
    <w:lvl w:ilvl="0" w:tplc="47C487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D8067AA"/>
    <w:multiLevelType w:val="hybridMultilevel"/>
    <w:tmpl w:val="4D7058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15:restartNumberingAfterBreak="0">
    <w:nsid w:val="7F1C25E5"/>
    <w:multiLevelType w:val="hybridMultilevel"/>
    <w:tmpl w:val="1248D416"/>
    <w:lvl w:ilvl="0" w:tplc="47C487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FE54B6D"/>
    <w:multiLevelType w:val="hybridMultilevel"/>
    <w:tmpl w:val="BF6E64E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1"/>
  </w:num>
  <w:num w:numId="2">
    <w:abstractNumId w:val="102"/>
  </w:num>
  <w:num w:numId="3">
    <w:abstractNumId w:val="55"/>
  </w:num>
  <w:num w:numId="4">
    <w:abstractNumId w:val="111"/>
  </w:num>
  <w:num w:numId="5">
    <w:abstractNumId w:val="6"/>
  </w:num>
  <w:num w:numId="6">
    <w:abstractNumId w:val="58"/>
  </w:num>
  <w:num w:numId="7">
    <w:abstractNumId w:val="121"/>
  </w:num>
  <w:num w:numId="8">
    <w:abstractNumId w:val="3"/>
  </w:num>
  <w:num w:numId="9">
    <w:abstractNumId w:val="67"/>
  </w:num>
  <w:num w:numId="10">
    <w:abstractNumId w:val="13"/>
  </w:num>
  <w:num w:numId="11">
    <w:abstractNumId w:val="53"/>
  </w:num>
  <w:num w:numId="12">
    <w:abstractNumId w:val="77"/>
  </w:num>
  <w:num w:numId="13">
    <w:abstractNumId w:val="92"/>
  </w:num>
  <w:num w:numId="14">
    <w:abstractNumId w:val="33"/>
  </w:num>
  <w:num w:numId="15">
    <w:abstractNumId w:val="85"/>
  </w:num>
  <w:num w:numId="16">
    <w:abstractNumId w:val="79"/>
  </w:num>
  <w:num w:numId="17">
    <w:abstractNumId w:val="56"/>
  </w:num>
  <w:num w:numId="18">
    <w:abstractNumId w:val="4"/>
  </w:num>
  <w:num w:numId="19">
    <w:abstractNumId w:val="94"/>
  </w:num>
  <w:num w:numId="20">
    <w:abstractNumId w:val="75"/>
  </w:num>
  <w:num w:numId="21">
    <w:abstractNumId w:val="104"/>
  </w:num>
  <w:num w:numId="22">
    <w:abstractNumId w:val="62"/>
  </w:num>
  <w:num w:numId="23">
    <w:abstractNumId w:val="97"/>
  </w:num>
  <w:num w:numId="24">
    <w:abstractNumId w:val="108"/>
  </w:num>
  <w:num w:numId="25">
    <w:abstractNumId w:val="130"/>
  </w:num>
  <w:num w:numId="26">
    <w:abstractNumId w:val="36"/>
  </w:num>
  <w:num w:numId="27">
    <w:abstractNumId w:val="100"/>
  </w:num>
  <w:num w:numId="28">
    <w:abstractNumId w:val="116"/>
  </w:num>
  <w:num w:numId="29">
    <w:abstractNumId w:val="40"/>
  </w:num>
  <w:num w:numId="30">
    <w:abstractNumId w:val="54"/>
  </w:num>
  <w:num w:numId="31">
    <w:abstractNumId w:val="123"/>
  </w:num>
  <w:num w:numId="32">
    <w:abstractNumId w:val="86"/>
  </w:num>
  <w:num w:numId="33">
    <w:abstractNumId w:val="12"/>
  </w:num>
  <w:num w:numId="34">
    <w:abstractNumId w:val="60"/>
  </w:num>
  <w:num w:numId="35">
    <w:abstractNumId w:val="30"/>
  </w:num>
  <w:num w:numId="36">
    <w:abstractNumId w:val="25"/>
  </w:num>
  <w:num w:numId="37">
    <w:abstractNumId w:val="66"/>
  </w:num>
  <w:num w:numId="38">
    <w:abstractNumId w:val="27"/>
  </w:num>
  <w:num w:numId="39">
    <w:abstractNumId w:val="71"/>
  </w:num>
  <w:num w:numId="40">
    <w:abstractNumId w:val="1"/>
  </w:num>
  <w:num w:numId="41">
    <w:abstractNumId w:val="32"/>
  </w:num>
  <w:num w:numId="42">
    <w:abstractNumId w:val="69"/>
  </w:num>
  <w:num w:numId="43">
    <w:abstractNumId w:val="68"/>
  </w:num>
  <w:num w:numId="44">
    <w:abstractNumId w:val="35"/>
  </w:num>
  <w:num w:numId="45">
    <w:abstractNumId w:val="91"/>
  </w:num>
  <w:num w:numId="46">
    <w:abstractNumId w:val="124"/>
  </w:num>
  <w:num w:numId="47">
    <w:abstractNumId w:val="21"/>
  </w:num>
  <w:num w:numId="48">
    <w:abstractNumId w:val="5"/>
  </w:num>
  <w:num w:numId="49">
    <w:abstractNumId w:val="119"/>
  </w:num>
  <w:num w:numId="50">
    <w:abstractNumId w:val="7"/>
  </w:num>
  <w:num w:numId="51">
    <w:abstractNumId w:val="83"/>
  </w:num>
  <w:num w:numId="52">
    <w:abstractNumId w:val="103"/>
  </w:num>
  <w:num w:numId="53">
    <w:abstractNumId w:val="99"/>
  </w:num>
  <w:num w:numId="54">
    <w:abstractNumId w:val="110"/>
  </w:num>
  <w:num w:numId="55">
    <w:abstractNumId w:val="115"/>
  </w:num>
  <w:num w:numId="56">
    <w:abstractNumId w:val="113"/>
  </w:num>
  <w:num w:numId="57">
    <w:abstractNumId w:val="14"/>
  </w:num>
  <w:num w:numId="58">
    <w:abstractNumId w:val="96"/>
  </w:num>
  <w:num w:numId="59">
    <w:abstractNumId w:val="118"/>
  </w:num>
  <w:num w:numId="60">
    <w:abstractNumId w:val="49"/>
  </w:num>
  <w:num w:numId="61">
    <w:abstractNumId w:val="72"/>
  </w:num>
  <w:num w:numId="62">
    <w:abstractNumId w:val="20"/>
  </w:num>
  <w:num w:numId="63">
    <w:abstractNumId w:val="105"/>
  </w:num>
  <w:num w:numId="64">
    <w:abstractNumId w:val="29"/>
  </w:num>
  <w:num w:numId="65">
    <w:abstractNumId w:val="98"/>
  </w:num>
  <w:num w:numId="66">
    <w:abstractNumId w:val="31"/>
  </w:num>
  <w:num w:numId="67">
    <w:abstractNumId w:val="59"/>
  </w:num>
  <w:num w:numId="68">
    <w:abstractNumId w:val="17"/>
  </w:num>
  <w:num w:numId="69">
    <w:abstractNumId w:val="76"/>
  </w:num>
  <w:num w:numId="70">
    <w:abstractNumId w:val="101"/>
  </w:num>
  <w:num w:numId="71">
    <w:abstractNumId w:val="73"/>
  </w:num>
  <w:num w:numId="72">
    <w:abstractNumId w:val="46"/>
  </w:num>
  <w:num w:numId="73">
    <w:abstractNumId w:val="107"/>
  </w:num>
  <w:num w:numId="74">
    <w:abstractNumId w:val="34"/>
  </w:num>
  <w:num w:numId="75">
    <w:abstractNumId w:val="117"/>
  </w:num>
  <w:num w:numId="76">
    <w:abstractNumId w:val="38"/>
  </w:num>
  <w:num w:numId="77">
    <w:abstractNumId w:val="50"/>
  </w:num>
  <w:num w:numId="78">
    <w:abstractNumId w:val="43"/>
  </w:num>
  <w:num w:numId="79">
    <w:abstractNumId w:val="48"/>
  </w:num>
  <w:num w:numId="80">
    <w:abstractNumId w:val="45"/>
  </w:num>
  <w:num w:numId="81">
    <w:abstractNumId w:val="78"/>
  </w:num>
  <w:num w:numId="82">
    <w:abstractNumId w:val="19"/>
  </w:num>
  <w:num w:numId="83">
    <w:abstractNumId w:val="9"/>
  </w:num>
  <w:num w:numId="84">
    <w:abstractNumId w:val="81"/>
  </w:num>
  <w:num w:numId="85">
    <w:abstractNumId w:val="114"/>
  </w:num>
  <w:num w:numId="86">
    <w:abstractNumId w:val="70"/>
  </w:num>
  <w:num w:numId="87">
    <w:abstractNumId w:val="52"/>
  </w:num>
  <w:num w:numId="88">
    <w:abstractNumId w:val="82"/>
  </w:num>
  <w:num w:numId="89">
    <w:abstractNumId w:val="15"/>
  </w:num>
  <w:num w:numId="90">
    <w:abstractNumId w:val="126"/>
  </w:num>
  <w:num w:numId="91">
    <w:abstractNumId w:val="18"/>
  </w:num>
  <w:num w:numId="92">
    <w:abstractNumId w:val="57"/>
  </w:num>
  <w:num w:numId="93">
    <w:abstractNumId w:val="28"/>
  </w:num>
  <w:num w:numId="94">
    <w:abstractNumId w:val="44"/>
  </w:num>
  <w:num w:numId="95">
    <w:abstractNumId w:val="109"/>
  </w:num>
  <w:num w:numId="96">
    <w:abstractNumId w:val="39"/>
  </w:num>
  <w:num w:numId="97">
    <w:abstractNumId w:val="90"/>
  </w:num>
  <w:num w:numId="98">
    <w:abstractNumId w:val="95"/>
  </w:num>
  <w:num w:numId="99">
    <w:abstractNumId w:val="64"/>
  </w:num>
  <w:num w:numId="100">
    <w:abstractNumId w:val="127"/>
  </w:num>
  <w:num w:numId="101">
    <w:abstractNumId w:val="84"/>
  </w:num>
  <w:num w:numId="102">
    <w:abstractNumId w:val="11"/>
  </w:num>
  <w:num w:numId="103">
    <w:abstractNumId w:val="112"/>
  </w:num>
  <w:num w:numId="104">
    <w:abstractNumId w:val="88"/>
  </w:num>
  <w:num w:numId="105">
    <w:abstractNumId w:val="125"/>
  </w:num>
  <w:num w:numId="106">
    <w:abstractNumId w:val="106"/>
  </w:num>
  <w:num w:numId="107">
    <w:abstractNumId w:val="129"/>
  </w:num>
  <w:num w:numId="108">
    <w:abstractNumId w:val="63"/>
  </w:num>
  <w:num w:numId="109">
    <w:abstractNumId w:val="10"/>
  </w:num>
  <w:num w:numId="110">
    <w:abstractNumId w:val="24"/>
  </w:num>
  <w:num w:numId="111">
    <w:abstractNumId w:val="8"/>
  </w:num>
  <w:num w:numId="112">
    <w:abstractNumId w:val="41"/>
  </w:num>
  <w:num w:numId="113">
    <w:abstractNumId w:val="93"/>
  </w:num>
  <w:num w:numId="114">
    <w:abstractNumId w:val="122"/>
  </w:num>
  <w:num w:numId="115">
    <w:abstractNumId w:val="120"/>
  </w:num>
  <w:num w:numId="116">
    <w:abstractNumId w:val="80"/>
  </w:num>
  <w:num w:numId="117">
    <w:abstractNumId w:val="89"/>
  </w:num>
  <w:num w:numId="118">
    <w:abstractNumId w:val="22"/>
  </w:num>
  <w:num w:numId="119">
    <w:abstractNumId w:val="61"/>
  </w:num>
  <w:num w:numId="120">
    <w:abstractNumId w:val="0"/>
  </w:num>
  <w:num w:numId="121">
    <w:abstractNumId w:val="65"/>
  </w:num>
  <w:num w:numId="122">
    <w:abstractNumId w:val="16"/>
  </w:num>
  <w:num w:numId="123">
    <w:abstractNumId w:val="128"/>
  </w:num>
  <w:num w:numId="124">
    <w:abstractNumId w:val="37"/>
  </w:num>
  <w:num w:numId="125">
    <w:abstractNumId w:val="47"/>
  </w:num>
  <w:num w:numId="126">
    <w:abstractNumId w:val="87"/>
  </w:num>
  <w:num w:numId="127">
    <w:abstractNumId w:val="74"/>
  </w:num>
  <w:num w:numId="128">
    <w:abstractNumId w:val="2"/>
  </w:num>
  <w:num w:numId="129">
    <w:abstractNumId w:val="26"/>
  </w:num>
  <w:num w:numId="130">
    <w:abstractNumId w:val="42"/>
  </w:num>
  <w:num w:numId="131">
    <w:abstractNumId w:val="2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3CB"/>
    <w:rsid w:val="0000101F"/>
    <w:rsid w:val="0000173A"/>
    <w:rsid w:val="00052ADB"/>
    <w:rsid w:val="000739A5"/>
    <w:rsid w:val="000D08CB"/>
    <w:rsid w:val="000D3E70"/>
    <w:rsid w:val="00113A40"/>
    <w:rsid w:val="0011618C"/>
    <w:rsid w:val="00155B32"/>
    <w:rsid w:val="00192733"/>
    <w:rsid w:val="001A14D9"/>
    <w:rsid w:val="001D0D55"/>
    <w:rsid w:val="002161E5"/>
    <w:rsid w:val="002762CC"/>
    <w:rsid w:val="002821B8"/>
    <w:rsid w:val="002D6AA6"/>
    <w:rsid w:val="00314858"/>
    <w:rsid w:val="003474F5"/>
    <w:rsid w:val="00347564"/>
    <w:rsid w:val="0036613D"/>
    <w:rsid w:val="00375B81"/>
    <w:rsid w:val="0039479B"/>
    <w:rsid w:val="003A6BC6"/>
    <w:rsid w:val="003B05B7"/>
    <w:rsid w:val="003C1EBC"/>
    <w:rsid w:val="003D68D2"/>
    <w:rsid w:val="00420DE3"/>
    <w:rsid w:val="004243C6"/>
    <w:rsid w:val="00461D8F"/>
    <w:rsid w:val="004818B0"/>
    <w:rsid w:val="004D1026"/>
    <w:rsid w:val="004E2582"/>
    <w:rsid w:val="0052216E"/>
    <w:rsid w:val="005A0FF1"/>
    <w:rsid w:val="005B642C"/>
    <w:rsid w:val="005C3979"/>
    <w:rsid w:val="005F3D6B"/>
    <w:rsid w:val="005F7000"/>
    <w:rsid w:val="00636441"/>
    <w:rsid w:val="006963F9"/>
    <w:rsid w:val="006D1FAA"/>
    <w:rsid w:val="006F7FD8"/>
    <w:rsid w:val="00777667"/>
    <w:rsid w:val="00797C1E"/>
    <w:rsid w:val="007C545A"/>
    <w:rsid w:val="007E2120"/>
    <w:rsid w:val="007E7F37"/>
    <w:rsid w:val="00830E89"/>
    <w:rsid w:val="00834610"/>
    <w:rsid w:val="00835C46"/>
    <w:rsid w:val="00850ECF"/>
    <w:rsid w:val="00854B49"/>
    <w:rsid w:val="00862E53"/>
    <w:rsid w:val="00875399"/>
    <w:rsid w:val="008C036D"/>
    <w:rsid w:val="008E45E5"/>
    <w:rsid w:val="00907DD8"/>
    <w:rsid w:val="00915F05"/>
    <w:rsid w:val="00947612"/>
    <w:rsid w:val="00955272"/>
    <w:rsid w:val="00961150"/>
    <w:rsid w:val="00985282"/>
    <w:rsid w:val="009858C6"/>
    <w:rsid w:val="009D6E9F"/>
    <w:rsid w:val="009E1D0E"/>
    <w:rsid w:val="009F0761"/>
    <w:rsid w:val="009F0E53"/>
    <w:rsid w:val="00A00DDE"/>
    <w:rsid w:val="00A235ED"/>
    <w:rsid w:val="00A262F2"/>
    <w:rsid w:val="00A313CB"/>
    <w:rsid w:val="00A55B14"/>
    <w:rsid w:val="00A82822"/>
    <w:rsid w:val="00AA0369"/>
    <w:rsid w:val="00B338D1"/>
    <w:rsid w:val="00B3682E"/>
    <w:rsid w:val="00B72C2E"/>
    <w:rsid w:val="00B85449"/>
    <w:rsid w:val="00BB693D"/>
    <w:rsid w:val="00C1029A"/>
    <w:rsid w:val="00C45CD0"/>
    <w:rsid w:val="00C50ADD"/>
    <w:rsid w:val="00C61FA4"/>
    <w:rsid w:val="00C669E4"/>
    <w:rsid w:val="00CA2558"/>
    <w:rsid w:val="00CF6FAA"/>
    <w:rsid w:val="00D20C16"/>
    <w:rsid w:val="00D22700"/>
    <w:rsid w:val="00D645AA"/>
    <w:rsid w:val="00D8290E"/>
    <w:rsid w:val="00DC5038"/>
    <w:rsid w:val="00E47B78"/>
    <w:rsid w:val="00E7297E"/>
    <w:rsid w:val="00EA4A00"/>
    <w:rsid w:val="00EA5AEA"/>
    <w:rsid w:val="00FA1837"/>
    <w:rsid w:val="00FA2963"/>
    <w:rsid w:val="00FA66DE"/>
    <w:rsid w:val="00FF2EF7"/>
    <w:rsid w:val="00FF5E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569B7E-375A-4BCB-9E16-D8A450C6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1"/>
    <w:basedOn w:val="a"/>
    <w:next w:val="a"/>
    <w:link w:val="10"/>
    <w:uiPriority w:val="9"/>
    <w:qFormat/>
    <w:rsid w:val="006F7FD8"/>
    <w:pPr>
      <w:pBdr>
        <w:top w:val="single" w:sz="24" w:space="0" w:color="FFFFFF"/>
        <w:left w:val="single" w:sz="24" w:space="0" w:color="FFFFFF"/>
        <w:bottom w:val="single" w:sz="24" w:space="0" w:color="FFFFFF"/>
        <w:right w:val="single" w:sz="24" w:space="0" w:color="FFFFFF"/>
      </w:pBdr>
      <w:shd w:val="clear" w:color="auto" w:fill="FFFFFF"/>
      <w:spacing w:before="100" w:after="0"/>
      <w:outlineLvl w:val="0"/>
    </w:pPr>
    <w:rPr>
      <w:rFonts w:ascii="Times New Roman" w:eastAsia="Times New Roman" w:hAnsi="Times New Roman" w:cs="Times New Roman"/>
      <w:b/>
      <w:caps/>
      <w:spacing w:val="15"/>
      <w:sz w:val="24"/>
      <w:lang w:val="x-none" w:eastAsia="x-none"/>
    </w:rPr>
  </w:style>
  <w:style w:type="paragraph" w:styleId="2">
    <w:name w:val="heading 2"/>
    <w:aliases w:val="2"/>
    <w:basedOn w:val="11"/>
    <w:next w:val="a"/>
    <w:link w:val="20"/>
    <w:uiPriority w:val="9"/>
    <w:unhideWhenUsed/>
    <w:qFormat/>
    <w:rsid w:val="006F7FD8"/>
    <w:pPr>
      <w:pBdr>
        <w:top w:val="single" w:sz="24" w:space="0" w:color="FFFFFF"/>
        <w:left w:val="single" w:sz="24" w:space="0" w:color="FFFFFF"/>
        <w:bottom w:val="single" w:sz="24" w:space="0" w:color="FFFFFF"/>
        <w:right w:val="single" w:sz="24" w:space="0" w:color="FFFFFF"/>
      </w:pBdr>
      <w:spacing w:after="0"/>
      <w:outlineLvl w:val="1"/>
    </w:pPr>
    <w:rPr>
      <w:caps w:val="0"/>
      <w:spacing w:val="15"/>
      <w:lang w:val="x-none" w:eastAsia="x-none"/>
    </w:rPr>
  </w:style>
  <w:style w:type="paragraph" w:styleId="3">
    <w:name w:val="heading 3"/>
    <w:aliases w:val="3"/>
    <w:basedOn w:val="a"/>
    <w:next w:val="a"/>
    <w:link w:val="30"/>
    <w:uiPriority w:val="9"/>
    <w:unhideWhenUsed/>
    <w:rsid w:val="006F7FD8"/>
    <w:pPr>
      <w:pBdr>
        <w:top w:val="single" w:sz="6" w:space="2" w:color="5B9BD5"/>
      </w:pBdr>
      <w:spacing w:before="300" w:after="0"/>
      <w:outlineLvl w:val="2"/>
    </w:pPr>
    <w:rPr>
      <w:rFonts w:ascii="Times New Roman" w:eastAsia="Times New Roman" w:hAnsi="Times New Roman" w:cs="Times New Roman"/>
      <w:caps/>
      <w:color w:val="1F4D78"/>
      <w:spacing w:val="15"/>
      <w:sz w:val="24"/>
      <w:szCs w:val="20"/>
      <w:lang w:val="x-none" w:eastAsia="x-none"/>
    </w:rPr>
  </w:style>
  <w:style w:type="paragraph" w:styleId="4">
    <w:name w:val="heading 4"/>
    <w:aliases w:val="4"/>
    <w:basedOn w:val="a"/>
    <w:next w:val="a"/>
    <w:link w:val="40"/>
    <w:uiPriority w:val="9"/>
    <w:unhideWhenUsed/>
    <w:qFormat/>
    <w:rsid w:val="006F7FD8"/>
    <w:pPr>
      <w:pBdr>
        <w:top w:val="dotted" w:sz="6" w:space="2" w:color="5B9BD5"/>
      </w:pBdr>
      <w:spacing w:before="200" w:after="0"/>
      <w:outlineLvl w:val="3"/>
    </w:pPr>
    <w:rPr>
      <w:rFonts w:ascii="Times New Roman" w:eastAsia="Times New Roman" w:hAnsi="Times New Roman" w:cs="Times New Roman"/>
      <w:caps/>
      <w:color w:val="2E74B5"/>
      <w:spacing w:val="10"/>
      <w:sz w:val="24"/>
      <w:szCs w:val="20"/>
      <w:lang w:val="x-none" w:eastAsia="x-none"/>
    </w:rPr>
  </w:style>
  <w:style w:type="paragraph" w:styleId="5">
    <w:name w:val="heading 5"/>
    <w:aliases w:val="5"/>
    <w:basedOn w:val="a"/>
    <w:next w:val="a"/>
    <w:link w:val="50"/>
    <w:uiPriority w:val="9"/>
    <w:unhideWhenUsed/>
    <w:qFormat/>
    <w:rsid w:val="006F7FD8"/>
    <w:pPr>
      <w:pBdr>
        <w:bottom w:val="single" w:sz="6" w:space="1" w:color="5B9BD5"/>
      </w:pBdr>
      <w:spacing w:before="200" w:after="0"/>
      <w:outlineLvl w:val="4"/>
    </w:pPr>
    <w:rPr>
      <w:rFonts w:ascii="Times New Roman" w:eastAsia="Times New Roman" w:hAnsi="Times New Roman" w:cs="Times New Roman"/>
      <w:caps/>
      <w:color w:val="2E74B5"/>
      <w:spacing w:val="10"/>
      <w:sz w:val="24"/>
      <w:szCs w:val="20"/>
      <w:lang w:val="x-none" w:eastAsia="x-none"/>
    </w:rPr>
  </w:style>
  <w:style w:type="paragraph" w:styleId="6">
    <w:name w:val="heading 6"/>
    <w:aliases w:val="6"/>
    <w:basedOn w:val="a"/>
    <w:next w:val="a"/>
    <w:link w:val="60"/>
    <w:uiPriority w:val="9"/>
    <w:unhideWhenUsed/>
    <w:qFormat/>
    <w:rsid w:val="006F7FD8"/>
    <w:pPr>
      <w:pBdr>
        <w:bottom w:val="dotted" w:sz="6" w:space="1" w:color="5B9BD5"/>
      </w:pBdr>
      <w:spacing w:before="200" w:after="0"/>
      <w:outlineLvl w:val="5"/>
    </w:pPr>
    <w:rPr>
      <w:rFonts w:ascii="Times New Roman" w:eastAsia="Times New Roman" w:hAnsi="Times New Roman" w:cs="Times New Roman"/>
      <w:caps/>
      <w:color w:val="2E74B5"/>
      <w:spacing w:val="10"/>
      <w:sz w:val="24"/>
      <w:szCs w:val="20"/>
      <w:lang w:val="x-none" w:eastAsia="x-none"/>
    </w:rPr>
  </w:style>
  <w:style w:type="paragraph" w:styleId="7">
    <w:name w:val="heading 7"/>
    <w:basedOn w:val="a"/>
    <w:next w:val="a"/>
    <w:link w:val="70"/>
    <w:uiPriority w:val="9"/>
    <w:unhideWhenUsed/>
    <w:qFormat/>
    <w:rsid w:val="006F7FD8"/>
    <w:pPr>
      <w:spacing w:before="200" w:after="0"/>
      <w:outlineLvl w:val="6"/>
    </w:pPr>
    <w:rPr>
      <w:rFonts w:ascii="Times New Roman" w:eastAsia="Times New Roman" w:hAnsi="Times New Roman" w:cs="Times New Roman"/>
      <w:b/>
      <w:caps/>
      <w:spacing w:val="10"/>
      <w:sz w:val="24"/>
      <w:szCs w:val="20"/>
      <w:lang w:val="x-none" w:eastAsia="x-none"/>
    </w:rPr>
  </w:style>
  <w:style w:type="paragraph" w:styleId="8">
    <w:name w:val="heading 8"/>
    <w:basedOn w:val="a"/>
    <w:next w:val="a"/>
    <w:link w:val="80"/>
    <w:uiPriority w:val="9"/>
    <w:semiHidden/>
    <w:unhideWhenUsed/>
    <w:qFormat/>
    <w:rsid w:val="006F7FD8"/>
    <w:pPr>
      <w:spacing w:before="200" w:after="0"/>
      <w:outlineLvl w:val="7"/>
    </w:pPr>
    <w:rPr>
      <w:rFonts w:ascii="Times New Roman" w:eastAsia="Times New Roman" w:hAnsi="Times New Roman" w:cs="Times New Roman"/>
      <w:caps/>
      <w:spacing w:val="10"/>
      <w:sz w:val="18"/>
      <w:szCs w:val="18"/>
      <w:lang w:val="x-none" w:eastAsia="x-none"/>
    </w:rPr>
  </w:style>
  <w:style w:type="paragraph" w:styleId="9">
    <w:name w:val="heading 9"/>
    <w:basedOn w:val="a"/>
    <w:next w:val="a"/>
    <w:link w:val="90"/>
    <w:uiPriority w:val="9"/>
    <w:semiHidden/>
    <w:unhideWhenUsed/>
    <w:qFormat/>
    <w:rsid w:val="006F7FD8"/>
    <w:pPr>
      <w:spacing w:before="200" w:after="0"/>
      <w:outlineLvl w:val="8"/>
    </w:pPr>
    <w:rPr>
      <w:rFonts w:ascii="Times New Roman" w:eastAsia="Times New Roman" w:hAnsi="Times New Roman" w:cs="Times New Roman"/>
      <w:i/>
      <w:iCs/>
      <w:caps/>
      <w:spacing w:val="10"/>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052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1 Знак"/>
    <w:basedOn w:val="a0"/>
    <w:link w:val="1"/>
    <w:uiPriority w:val="9"/>
    <w:rsid w:val="006F7FD8"/>
    <w:rPr>
      <w:rFonts w:ascii="Times New Roman" w:eastAsia="Times New Roman" w:hAnsi="Times New Roman" w:cs="Times New Roman"/>
      <w:b/>
      <w:caps/>
      <w:spacing w:val="15"/>
      <w:sz w:val="24"/>
      <w:shd w:val="clear" w:color="auto" w:fill="FFFFFF"/>
      <w:lang w:val="x-none" w:eastAsia="x-none"/>
    </w:rPr>
  </w:style>
  <w:style w:type="character" w:customStyle="1" w:styleId="20">
    <w:name w:val="Заголовок 2 Знак"/>
    <w:aliases w:val="2 Знак"/>
    <w:basedOn w:val="a0"/>
    <w:link w:val="2"/>
    <w:uiPriority w:val="9"/>
    <w:rsid w:val="006F7FD8"/>
    <w:rPr>
      <w:rFonts w:ascii="Times New Roman" w:eastAsia="Times New Roman" w:hAnsi="Times New Roman" w:cs="Times New Roman"/>
      <w:bCs/>
      <w:noProof/>
      <w:spacing w:val="15"/>
      <w:sz w:val="24"/>
      <w:szCs w:val="24"/>
      <w:lang w:val="x-none" w:eastAsia="x-none"/>
    </w:rPr>
  </w:style>
  <w:style w:type="character" w:customStyle="1" w:styleId="30">
    <w:name w:val="Заголовок 3 Знак"/>
    <w:aliases w:val="3 Знак"/>
    <w:basedOn w:val="a0"/>
    <w:link w:val="3"/>
    <w:uiPriority w:val="9"/>
    <w:rsid w:val="006F7FD8"/>
    <w:rPr>
      <w:rFonts w:ascii="Times New Roman" w:eastAsia="Times New Roman" w:hAnsi="Times New Roman" w:cs="Times New Roman"/>
      <w:caps/>
      <w:color w:val="1F4D78"/>
      <w:spacing w:val="15"/>
      <w:sz w:val="24"/>
      <w:szCs w:val="20"/>
      <w:lang w:val="x-none" w:eastAsia="x-none"/>
    </w:rPr>
  </w:style>
  <w:style w:type="character" w:customStyle="1" w:styleId="40">
    <w:name w:val="Заголовок 4 Знак"/>
    <w:aliases w:val="4 Знак"/>
    <w:basedOn w:val="a0"/>
    <w:link w:val="4"/>
    <w:uiPriority w:val="9"/>
    <w:rsid w:val="006F7FD8"/>
    <w:rPr>
      <w:rFonts w:ascii="Times New Roman" w:eastAsia="Times New Roman" w:hAnsi="Times New Roman" w:cs="Times New Roman"/>
      <w:caps/>
      <w:color w:val="2E74B5"/>
      <w:spacing w:val="10"/>
      <w:sz w:val="24"/>
      <w:szCs w:val="20"/>
      <w:lang w:val="x-none" w:eastAsia="x-none"/>
    </w:rPr>
  </w:style>
  <w:style w:type="character" w:customStyle="1" w:styleId="50">
    <w:name w:val="Заголовок 5 Знак"/>
    <w:aliases w:val="5 Знак"/>
    <w:basedOn w:val="a0"/>
    <w:link w:val="5"/>
    <w:uiPriority w:val="9"/>
    <w:rsid w:val="006F7FD8"/>
    <w:rPr>
      <w:rFonts w:ascii="Times New Roman" w:eastAsia="Times New Roman" w:hAnsi="Times New Roman" w:cs="Times New Roman"/>
      <w:caps/>
      <w:color w:val="2E74B5"/>
      <w:spacing w:val="10"/>
      <w:sz w:val="24"/>
      <w:szCs w:val="20"/>
      <w:lang w:val="x-none" w:eastAsia="x-none"/>
    </w:rPr>
  </w:style>
  <w:style w:type="character" w:customStyle="1" w:styleId="60">
    <w:name w:val="Заголовок 6 Знак"/>
    <w:aliases w:val="6 Знак"/>
    <w:basedOn w:val="a0"/>
    <w:link w:val="6"/>
    <w:uiPriority w:val="9"/>
    <w:rsid w:val="006F7FD8"/>
    <w:rPr>
      <w:rFonts w:ascii="Times New Roman" w:eastAsia="Times New Roman" w:hAnsi="Times New Roman" w:cs="Times New Roman"/>
      <w:caps/>
      <w:color w:val="2E74B5"/>
      <w:spacing w:val="10"/>
      <w:sz w:val="24"/>
      <w:szCs w:val="20"/>
      <w:lang w:val="x-none" w:eastAsia="x-none"/>
    </w:rPr>
  </w:style>
  <w:style w:type="character" w:customStyle="1" w:styleId="70">
    <w:name w:val="Заголовок 7 Знак"/>
    <w:basedOn w:val="a0"/>
    <w:link w:val="7"/>
    <w:uiPriority w:val="9"/>
    <w:rsid w:val="006F7FD8"/>
    <w:rPr>
      <w:rFonts w:ascii="Times New Roman" w:eastAsia="Times New Roman" w:hAnsi="Times New Roman" w:cs="Times New Roman"/>
      <w:b/>
      <w:caps/>
      <w:spacing w:val="10"/>
      <w:sz w:val="24"/>
      <w:szCs w:val="20"/>
      <w:lang w:val="x-none" w:eastAsia="x-none"/>
    </w:rPr>
  </w:style>
  <w:style w:type="character" w:customStyle="1" w:styleId="80">
    <w:name w:val="Заголовок 8 Знак"/>
    <w:basedOn w:val="a0"/>
    <w:link w:val="8"/>
    <w:uiPriority w:val="9"/>
    <w:semiHidden/>
    <w:rsid w:val="006F7FD8"/>
    <w:rPr>
      <w:rFonts w:ascii="Times New Roman" w:eastAsia="Times New Roman" w:hAnsi="Times New Roman" w:cs="Times New Roman"/>
      <w:caps/>
      <w:spacing w:val="10"/>
      <w:sz w:val="18"/>
      <w:szCs w:val="18"/>
      <w:lang w:val="x-none" w:eastAsia="x-none"/>
    </w:rPr>
  </w:style>
  <w:style w:type="character" w:customStyle="1" w:styleId="90">
    <w:name w:val="Заголовок 9 Знак"/>
    <w:basedOn w:val="a0"/>
    <w:link w:val="9"/>
    <w:uiPriority w:val="9"/>
    <w:semiHidden/>
    <w:rsid w:val="006F7FD8"/>
    <w:rPr>
      <w:rFonts w:ascii="Times New Roman" w:eastAsia="Times New Roman" w:hAnsi="Times New Roman" w:cs="Times New Roman"/>
      <w:i/>
      <w:iCs/>
      <w:caps/>
      <w:spacing w:val="10"/>
      <w:sz w:val="18"/>
      <w:szCs w:val="18"/>
      <w:lang w:val="x-none" w:eastAsia="x-none"/>
    </w:rPr>
  </w:style>
  <w:style w:type="numbering" w:customStyle="1" w:styleId="12">
    <w:name w:val="Нет списка1"/>
    <w:next w:val="a2"/>
    <w:uiPriority w:val="99"/>
    <w:semiHidden/>
    <w:rsid w:val="006F7FD8"/>
  </w:style>
  <w:style w:type="table" w:customStyle="1" w:styleId="13">
    <w:name w:val="Сетка таблицы1"/>
    <w:basedOn w:val="a1"/>
    <w:next w:val="a3"/>
    <w:uiPriority w:val="39"/>
    <w:rsid w:val="006F7FD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qFormat/>
    <w:rsid w:val="006F7FD8"/>
    <w:pPr>
      <w:spacing w:before="100"/>
      <w:ind w:left="708"/>
    </w:pPr>
    <w:rPr>
      <w:rFonts w:ascii="Times New Roman" w:eastAsia="Times New Roman" w:hAnsi="Times New Roman" w:cs="Times New Roman"/>
      <w:sz w:val="24"/>
      <w:szCs w:val="20"/>
      <w:lang w:val="ro-RO" w:eastAsia="ru-RU"/>
    </w:rPr>
  </w:style>
  <w:style w:type="paragraph" w:styleId="a4">
    <w:name w:val="header"/>
    <w:basedOn w:val="a"/>
    <w:link w:val="a5"/>
    <w:uiPriority w:val="99"/>
    <w:rsid w:val="006F7FD8"/>
    <w:pPr>
      <w:tabs>
        <w:tab w:val="center" w:pos="4677"/>
        <w:tab w:val="right" w:pos="9355"/>
      </w:tabs>
      <w:spacing w:before="100"/>
    </w:pPr>
    <w:rPr>
      <w:rFonts w:ascii="Times New Roman" w:eastAsia="Times New Roman" w:hAnsi="Times New Roman" w:cs="Times New Roman"/>
      <w:sz w:val="24"/>
      <w:szCs w:val="24"/>
      <w:lang w:val="x-none" w:eastAsia="x-none"/>
    </w:rPr>
  </w:style>
  <w:style w:type="character" w:customStyle="1" w:styleId="a5">
    <w:name w:val="Верхний колонтитул Знак"/>
    <w:basedOn w:val="a0"/>
    <w:link w:val="a4"/>
    <w:uiPriority w:val="99"/>
    <w:rsid w:val="006F7FD8"/>
    <w:rPr>
      <w:rFonts w:ascii="Times New Roman" w:eastAsia="Times New Roman" w:hAnsi="Times New Roman" w:cs="Times New Roman"/>
      <w:sz w:val="24"/>
      <w:szCs w:val="24"/>
      <w:lang w:val="x-none" w:eastAsia="x-none"/>
    </w:rPr>
  </w:style>
  <w:style w:type="paragraph" w:styleId="a6">
    <w:name w:val="footer"/>
    <w:basedOn w:val="a"/>
    <w:link w:val="a7"/>
    <w:uiPriority w:val="99"/>
    <w:rsid w:val="006F7FD8"/>
    <w:pPr>
      <w:tabs>
        <w:tab w:val="center" w:pos="4677"/>
        <w:tab w:val="right" w:pos="9355"/>
      </w:tabs>
      <w:spacing w:before="100"/>
    </w:pPr>
    <w:rPr>
      <w:rFonts w:ascii="Times New Roman" w:eastAsia="Times New Roman" w:hAnsi="Times New Roman" w:cs="Times New Roman"/>
      <w:sz w:val="24"/>
      <w:szCs w:val="24"/>
      <w:lang w:val="x-none" w:eastAsia="x-none"/>
    </w:rPr>
  </w:style>
  <w:style w:type="character" w:customStyle="1" w:styleId="a7">
    <w:name w:val="Нижний колонтитул Знак"/>
    <w:basedOn w:val="a0"/>
    <w:link w:val="a6"/>
    <w:uiPriority w:val="99"/>
    <w:rsid w:val="006F7FD8"/>
    <w:rPr>
      <w:rFonts w:ascii="Times New Roman" w:eastAsia="Times New Roman" w:hAnsi="Times New Roman" w:cs="Times New Roman"/>
      <w:sz w:val="24"/>
      <w:szCs w:val="24"/>
      <w:lang w:val="x-none" w:eastAsia="x-none"/>
    </w:rPr>
  </w:style>
  <w:style w:type="character" w:styleId="a8">
    <w:name w:val="Hyperlink"/>
    <w:uiPriority w:val="99"/>
    <w:rsid w:val="006F7FD8"/>
    <w:rPr>
      <w:color w:val="0000FF"/>
      <w:u w:val="single"/>
    </w:rPr>
  </w:style>
  <w:style w:type="character" w:customStyle="1" w:styleId="searchcriteria">
    <w:name w:val="searchcriteria"/>
    <w:basedOn w:val="a0"/>
    <w:rsid w:val="006F7FD8"/>
  </w:style>
  <w:style w:type="paragraph" w:styleId="a9">
    <w:name w:val="Body Text Indent"/>
    <w:basedOn w:val="a"/>
    <w:link w:val="aa"/>
    <w:rsid w:val="006F7FD8"/>
    <w:pPr>
      <w:spacing w:before="100" w:after="120"/>
      <w:ind w:left="283"/>
    </w:pPr>
    <w:rPr>
      <w:rFonts w:ascii="Times New Roman" w:eastAsia="Times New Roman" w:hAnsi="Times New Roman" w:cs="Times New Roman"/>
      <w:sz w:val="24"/>
      <w:szCs w:val="24"/>
      <w:lang w:val="x-none" w:eastAsia="x-none"/>
    </w:rPr>
  </w:style>
  <w:style w:type="character" w:customStyle="1" w:styleId="aa">
    <w:name w:val="Основной текст с отступом Знак"/>
    <w:basedOn w:val="a0"/>
    <w:link w:val="a9"/>
    <w:rsid w:val="006F7FD8"/>
    <w:rPr>
      <w:rFonts w:ascii="Times New Roman" w:eastAsia="Times New Roman" w:hAnsi="Times New Roman" w:cs="Times New Roman"/>
      <w:sz w:val="24"/>
      <w:szCs w:val="24"/>
      <w:lang w:val="x-none" w:eastAsia="x-none"/>
    </w:rPr>
  </w:style>
  <w:style w:type="character" w:styleId="ab">
    <w:name w:val="page number"/>
    <w:basedOn w:val="a0"/>
    <w:rsid w:val="006F7FD8"/>
  </w:style>
  <w:style w:type="paragraph" w:customStyle="1" w:styleId="NormalWeb1">
    <w:name w:val="Normal (Web)1"/>
    <w:basedOn w:val="a"/>
    <w:link w:val="NormalWeb1Char"/>
    <w:rsid w:val="006F7FD8"/>
    <w:pPr>
      <w:spacing w:before="100" w:after="150"/>
    </w:pPr>
    <w:rPr>
      <w:rFonts w:ascii="Times New Roman" w:eastAsia="Times New Roman" w:hAnsi="Times New Roman" w:cs="Times New Roman"/>
      <w:sz w:val="24"/>
      <w:szCs w:val="24"/>
      <w:lang w:val="ro-RO" w:eastAsia="ru-RU"/>
    </w:rPr>
  </w:style>
  <w:style w:type="character" w:customStyle="1" w:styleId="NormalWeb1Char">
    <w:name w:val="Normal (Web)1 Char"/>
    <w:link w:val="NormalWeb1"/>
    <w:rsid w:val="006F7FD8"/>
    <w:rPr>
      <w:rFonts w:ascii="Times New Roman" w:eastAsia="Times New Roman" w:hAnsi="Times New Roman" w:cs="Times New Roman"/>
      <w:sz w:val="24"/>
      <w:szCs w:val="24"/>
      <w:lang w:val="ro-RO" w:eastAsia="ru-RU"/>
    </w:rPr>
  </w:style>
  <w:style w:type="paragraph" w:styleId="ac">
    <w:name w:val="Balloon Text"/>
    <w:basedOn w:val="a"/>
    <w:link w:val="ad"/>
    <w:rsid w:val="006F7FD8"/>
    <w:pPr>
      <w:spacing w:before="100"/>
    </w:pPr>
    <w:rPr>
      <w:rFonts w:ascii="Tahoma" w:eastAsia="Times New Roman" w:hAnsi="Tahoma" w:cs="Times New Roman"/>
      <w:sz w:val="16"/>
      <w:szCs w:val="16"/>
      <w:lang w:val="ro-RO" w:eastAsia="ru-RU"/>
    </w:rPr>
  </w:style>
  <w:style w:type="character" w:customStyle="1" w:styleId="ad">
    <w:name w:val="Текст выноски Знак"/>
    <w:basedOn w:val="a0"/>
    <w:link w:val="ac"/>
    <w:rsid w:val="006F7FD8"/>
    <w:rPr>
      <w:rFonts w:ascii="Tahoma" w:eastAsia="Times New Roman" w:hAnsi="Tahoma" w:cs="Times New Roman"/>
      <w:sz w:val="16"/>
      <w:szCs w:val="16"/>
      <w:lang w:val="ro-RO" w:eastAsia="ru-RU"/>
    </w:rPr>
  </w:style>
  <w:style w:type="character" w:styleId="ae">
    <w:name w:val="Emphasis"/>
    <w:uiPriority w:val="20"/>
    <w:qFormat/>
    <w:rsid w:val="006F7FD8"/>
    <w:rPr>
      <w:caps/>
      <w:color w:val="1F4D78"/>
      <w:spacing w:val="5"/>
    </w:rPr>
  </w:style>
  <w:style w:type="paragraph" w:customStyle="1" w:styleId="StyleHeading5TimesNewRoman14ptBefore0ptAfter6">
    <w:name w:val="Style Heading 5 + Times New Roman 14 pt Before:  0 pt After:  6 ..."/>
    <w:basedOn w:val="6"/>
    <w:rsid w:val="006F7FD8"/>
    <w:pPr>
      <w:spacing w:before="0" w:after="120"/>
    </w:pPr>
    <w:rPr>
      <w:sz w:val="28"/>
    </w:rPr>
  </w:style>
  <w:style w:type="paragraph" w:customStyle="1" w:styleId="StyleHeading6TimesNewRoman14pt">
    <w:name w:val="Style Heading 6 + Times New Roman 14 pt"/>
    <w:basedOn w:val="6"/>
    <w:autoRedefine/>
    <w:rsid w:val="006F7FD8"/>
    <w:pPr>
      <w:ind w:right="-1027"/>
    </w:pPr>
    <w:rPr>
      <w:i/>
      <w:sz w:val="28"/>
      <w:lang w:val="en-US"/>
    </w:rPr>
  </w:style>
  <w:style w:type="paragraph" w:customStyle="1" w:styleId="Heading61">
    <w:name w:val="Heading 6.1"/>
    <w:basedOn w:val="StyleHeading6TimesNewRoman14pt"/>
    <w:rsid w:val="006F7FD8"/>
    <w:rPr>
      <w:szCs w:val="28"/>
    </w:rPr>
  </w:style>
  <w:style w:type="paragraph" w:styleId="11">
    <w:name w:val="toc 1"/>
    <w:basedOn w:val="a"/>
    <w:next w:val="a"/>
    <w:autoRedefine/>
    <w:uiPriority w:val="39"/>
    <w:rsid w:val="006F7FD8"/>
    <w:pPr>
      <w:tabs>
        <w:tab w:val="right" w:leader="dot" w:pos="9016"/>
      </w:tabs>
      <w:spacing w:before="120" w:after="120"/>
    </w:pPr>
    <w:rPr>
      <w:rFonts w:ascii="Times New Roman" w:eastAsia="Times New Roman" w:hAnsi="Times New Roman" w:cs="Times New Roman"/>
      <w:bCs/>
      <w:caps/>
      <w:noProof/>
      <w:sz w:val="24"/>
      <w:szCs w:val="24"/>
      <w:lang w:val="ro-RO" w:eastAsia="ru-RU"/>
    </w:rPr>
  </w:style>
  <w:style w:type="paragraph" w:styleId="21">
    <w:name w:val="toc 2"/>
    <w:basedOn w:val="a"/>
    <w:next w:val="a"/>
    <w:autoRedefine/>
    <w:uiPriority w:val="39"/>
    <w:rsid w:val="006F7FD8"/>
    <w:pPr>
      <w:spacing w:after="0"/>
      <w:ind w:left="200"/>
    </w:pPr>
    <w:rPr>
      <w:rFonts w:ascii="Calibri" w:eastAsia="Times New Roman" w:hAnsi="Calibri" w:cs="Calibri"/>
      <w:smallCaps/>
      <w:sz w:val="24"/>
      <w:szCs w:val="20"/>
      <w:lang w:val="ro-RO" w:eastAsia="ru-RU"/>
    </w:rPr>
  </w:style>
  <w:style w:type="paragraph" w:styleId="31">
    <w:name w:val="toc 3"/>
    <w:basedOn w:val="a"/>
    <w:next w:val="a"/>
    <w:autoRedefine/>
    <w:uiPriority w:val="39"/>
    <w:rsid w:val="006F7FD8"/>
    <w:pPr>
      <w:spacing w:after="0"/>
      <w:ind w:left="400"/>
    </w:pPr>
    <w:rPr>
      <w:rFonts w:ascii="Calibri" w:eastAsia="Times New Roman" w:hAnsi="Calibri" w:cs="Calibri"/>
      <w:i/>
      <w:iCs/>
      <w:sz w:val="24"/>
      <w:szCs w:val="20"/>
      <w:lang w:val="ro-RO" w:eastAsia="ru-RU"/>
    </w:rPr>
  </w:style>
  <w:style w:type="paragraph" w:styleId="41">
    <w:name w:val="toc 4"/>
    <w:basedOn w:val="a"/>
    <w:next w:val="a"/>
    <w:autoRedefine/>
    <w:uiPriority w:val="39"/>
    <w:rsid w:val="006F7FD8"/>
    <w:pPr>
      <w:spacing w:after="0"/>
      <w:ind w:left="600"/>
    </w:pPr>
    <w:rPr>
      <w:rFonts w:ascii="Calibri" w:eastAsia="Times New Roman" w:hAnsi="Calibri" w:cs="Calibri"/>
      <w:sz w:val="18"/>
      <w:szCs w:val="18"/>
      <w:lang w:val="ro-RO" w:eastAsia="ru-RU"/>
    </w:rPr>
  </w:style>
  <w:style w:type="paragraph" w:styleId="51">
    <w:name w:val="toc 5"/>
    <w:basedOn w:val="a"/>
    <w:next w:val="a"/>
    <w:autoRedefine/>
    <w:uiPriority w:val="39"/>
    <w:rsid w:val="006F7FD8"/>
    <w:pPr>
      <w:spacing w:after="0"/>
      <w:ind w:left="800"/>
    </w:pPr>
    <w:rPr>
      <w:rFonts w:ascii="Calibri" w:eastAsia="Times New Roman" w:hAnsi="Calibri" w:cs="Calibri"/>
      <w:sz w:val="18"/>
      <w:szCs w:val="18"/>
      <w:lang w:val="ro-RO" w:eastAsia="ru-RU"/>
    </w:rPr>
  </w:style>
  <w:style w:type="paragraph" w:styleId="61">
    <w:name w:val="toc 6"/>
    <w:basedOn w:val="a"/>
    <w:next w:val="a"/>
    <w:autoRedefine/>
    <w:uiPriority w:val="39"/>
    <w:rsid w:val="006F7FD8"/>
    <w:pPr>
      <w:spacing w:after="0"/>
      <w:ind w:left="1000"/>
    </w:pPr>
    <w:rPr>
      <w:rFonts w:ascii="Calibri" w:eastAsia="Times New Roman" w:hAnsi="Calibri" w:cs="Calibri"/>
      <w:sz w:val="18"/>
      <w:szCs w:val="18"/>
      <w:lang w:val="ro-RO" w:eastAsia="ru-RU"/>
    </w:rPr>
  </w:style>
  <w:style w:type="paragraph" w:styleId="71">
    <w:name w:val="toc 7"/>
    <w:basedOn w:val="a"/>
    <w:next w:val="a"/>
    <w:autoRedefine/>
    <w:uiPriority w:val="39"/>
    <w:rsid w:val="006F7FD8"/>
    <w:pPr>
      <w:spacing w:after="0"/>
      <w:ind w:left="1200"/>
    </w:pPr>
    <w:rPr>
      <w:rFonts w:ascii="Calibri" w:eastAsia="Times New Roman" w:hAnsi="Calibri" w:cs="Calibri"/>
      <w:sz w:val="18"/>
      <w:szCs w:val="18"/>
      <w:lang w:val="ro-RO" w:eastAsia="ru-RU"/>
    </w:rPr>
  </w:style>
  <w:style w:type="paragraph" w:styleId="81">
    <w:name w:val="toc 8"/>
    <w:basedOn w:val="a"/>
    <w:next w:val="a"/>
    <w:autoRedefine/>
    <w:rsid w:val="006F7FD8"/>
    <w:pPr>
      <w:spacing w:after="0"/>
      <w:ind w:left="1400"/>
    </w:pPr>
    <w:rPr>
      <w:rFonts w:ascii="Calibri" w:eastAsia="Times New Roman" w:hAnsi="Calibri" w:cs="Calibri"/>
      <w:sz w:val="18"/>
      <w:szCs w:val="18"/>
      <w:lang w:val="ro-RO" w:eastAsia="ru-RU"/>
    </w:rPr>
  </w:style>
  <w:style w:type="paragraph" w:styleId="91">
    <w:name w:val="toc 9"/>
    <w:basedOn w:val="a"/>
    <w:next w:val="a"/>
    <w:autoRedefine/>
    <w:rsid w:val="006F7FD8"/>
    <w:pPr>
      <w:spacing w:after="0"/>
      <w:ind w:left="1600"/>
    </w:pPr>
    <w:rPr>
      <w:rFonts w:ascii="Calibri" w:eastAsia="Times New Roman" w:hAnsi="Calibri" w:cs="Calibri"/>
      <w:sz w:val="18"/>
      <w:szCs w:val="18"/>
      <w:lang w:val="ro-RO" w:eastAsia="ru-RU"/>
    </w:rPr>
  </w:style>
  <w:style w:type="paragraph" w:customStyle="1" w:styleId="ListParagraph1">
    <w:name w:val="List Paragraph1"/>
    <w:basedOn w:val="a"/>
    <w:uiPriority w:val="34"/>
    <w:qFormat/>
    <w:rsid w:val="006F7FD8"/>
    <w:pPr>
      <w:spacing w:before="100"/>
      <w:ind w:left="720"/>
      <w:contextualSpacing/>
    </w:pPr>
    <w:rPr>
      <w:rFonts w:ascii="Calibri" w:eastAsia="Times New Roman" w:hAnsi="Calibri" w:cs="Times New Roman"/>
      <w:lang w:val="en-US"/>
    </w:rPr>
  </w:style>
  <w:style w:type="paragraph" w:customStyle="1" w:styleId="Default">
    <w:name w:val="Default"/>
    <w:rsid w:val="006F7FD8"/>
    <w:pPr>
      <w:widowControl w:val="0"/>
      <w:autoSpaceDE w:val="0"/>
      <w:autoSpaceDN w:val="0"/>
      <w:adjustRightInd w:val="0"/>
      <w:spacing w:before="100"/>
    </w:pPr>
    <w:rPr>
      <w:rFonts w:ascii="Impact" w:eastAsia="Times New Roman" w:hAnsi="Impact" w:cs="Impact"/>
      <w:color w:val="000000"/>
      <w:sz w:val="24"/>
      <w:szCs w:val="24"/>
      <w:lang w:eastAsia="ru-RU"/>
    </w:rPr>
  </w:style>
  <w:style w:type="paragraph" w:customStyle="1" w:styleId="15">
    <w:name w:val="заголовок 1"/>
    <w:basedOn w:val="a"/>
    <w:next w:val="a"/>
    <w:rsid w:val="006F7FD8"/>
    <w:pPr>
      <w:keepNext/>
      <w:spacing w:before="100"/>
      <w:jc w:val="center"/>
      <w:outlineLvl w:val="0"/>
    </w:pPr>
    <w:rPr>
      <w:rFonts w:ascii="Times New Roman" w:eastAsia="Times New Roman" w:hAnsi="Times New Roman" w:cs="Times New Roman"/>
      <w:b/>
      <w:sz w:val="24"/>
      <w:szCs w:val="20"/>
      <w:lang w:val="ro-RO" w:eastAsia="zh-CN"/>
    </w:rPr>
  </w:style>
  <w:style w:type="paragraph" w:styleId="af">
    <w:name w:val="Body Text"/>
    <w:basedOn w:val="a"/>
    <w:link w:val="af0"/>
    <w:rsid w:val="006F7FD8"/>
    <w:pPr>
      <w:spacing w:before="100" w:after="120"/>
    </w:pPr>
    <w:rPr>
      <w:rFonts w:ascii="Times New Roman" w:eastAsia="Times New Roman" w:hAnsi="Times New Roman" w:cs="Times New Roman"/>
      <w:sz w:val="24"/>
      <w:szCs w:val="20"/>
      <w:lang w:val="ro-RO" w:eastAsia="ru-RU"/>
    </w:rPr>
  </w:style>
  <w:style w:type="character" w:customStyle="1" w:styleId="af0">
    <w:name w:val="Основной текст Знак"/>
    <w:basedOn w:val="a0"/>
    <w:link w:val="af"/>
    <w:rsid w:val="006F7FD8"/>
    <w:rPr>
      <w:rFonts w:ascii="Times New Roman" w:eastAsia="Times New Roman" w:hAnsi="Times New Roman" w:cs="Times New Roman"/>
      <w:sz w:val="24"/>
      <w:szCs w:val="20"/>
      <w:lang w:val="ro-RO" w:eastAsia="ru-RU"/>
    </w:rPr>
  </w:style>
  <w:style w:type="table" w:styleId="52">
    <w:name w:val="Table Columns 5"/>
    <w:basedOn w:val="a1"/>
    <w:rsid w:val="006F7FD8"/>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1">
    <w:name w:val="Table Contemporary"/>
    <w:basedOn w:val="a1"/>
    <w:rsid w:val="006F7FD8"/>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2">
    <w:name w:val="footnote text"/>
    <w:basedOn w:val="a"/>
    <w:link w:val="af3"/>
    <w:rsid w:val="006F7FD8"/>
    <w:pPr>
      <w:spacing w:before="100"/>
    </w:pPr>
    <w:rPr>
      <w:rFonts w:ascii="Times New Roman" w:eastAsia="Times New Roman" w:hAnsi="Times New Roman" w:cs="Times New Roman"/>
      <w:sz w:val="24"/>
      <w:szCs w:val="20"/>
      <w:lang w:val="ro-RO" w:eastAsia="ru-RU"/>
    </w:rPr>
  </w:style>
  <w:style w:type="character" w:customStyle="1" w:styleId="af3">
    <w:name w:val="Текст сноски Знак"/>
    <w:basedOn w:val="a0"/>
    <w:link w:val="af2"/>
    <w:rsid w:val="006F7FD8"/>
    <w:rPr>
      <w:rFonts w:ascii="Times New Roman" w:eastAsia="Times New Roman" w:hAnsi="Times New Roman" w:cs="Times New Roman"/>
      <w:sz w:val="24"/>
      <w:szCs w:val="20"/>
      <w:lang w:val="ro-RO" w:eastAsia="ru-RU"/>
    </w:rPr>
  </w:style>
  <w:style w:type="character" w:styleId="af4">
    <w:name w:val="footnote reference"/>
    <w:rsid w:val="006F7FD8"/>
    <w:rPr>
      <w:vertAlign w:val="superscript"/>
    </w:rPr>
  </w:style>
  <w:style w:type="paragraph" w:customStyle="1" w:styleId="NoParagraphStyle">
    <w:name w:val="[No Paragraph Style]"/>
    <w:rsid w:val="006F7FD8"/>
    <w:pPr>
      <w:autoSpaceDE w:val="0"/>
      <w:autoSpaceDN w:val="0"/>
      <w:adjustRightInd w:val="0"/>
      <w:spacing w:before="100" w:line="288" w:lineRule="auto"/>
      <w:textAlignment w:val="center"/>
    </w:pPr>
    <w:rPr>
      <w:rFonts w:ascii="Calibri" w:eastAsia="Times New Roman" w:hAnsi="Calibri" w:cs="Times New Roman"/>
      <w:color w:val="000000"/>
      <w:sz w:val="24"/>
      <w:szCs w:val="24"/>
      <w:lang w:val="en-GB" w:eastAsia="ru-RU"/>
    </w:rPr>
  </w:style>
  <w:style w:type="character" w:customStyle="1" w:styleId="hps">
    <w:name w:val="hps"/>
    <w:basedOn w:val="a0"/>
    <w:rsid w:val="006F7FD8"/>
  </w:style>
  <w:style w:type="paragraph" w:customStyle="1" w:styleId="Pa8">
    <w:name w:val="Pa8"/>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5">
    <w:name w:val="Pa5"/>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1">
    <w:name w:val="Pa1"/>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36">
    <w:name w:val="Pa36"/>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21">
    <w:name w:val="Pa21"/>
    <w:basedOn w:val="Default"/>
    <w:next w:val="Default"/>
    <w:uiPriority w:val="99"/>
    <w:rsid w:val="006F7FD8"/>
    <w:pPr>
      <w:widowControl/>
      <w:spacing w:line="241" w:lineRule="atLeast"/>
    </w:pPr>
    <w:rPr>
      <w:rFonts w:ascii="Times New Roman" w:hAnsi="Times New Roman" w:cs="Times New Roman"/>
      <w:color w:val="auto"/>
    </w:rPr>
  </w:style>
  <w:style w:type="character" w:customStyle="1" w:styleId="A80">
    <w:name w:val="A8"/>
    <w:uiPriority w:val="99"/>
    <w:rsid w:val="006F7FD8"/>
    <w:rPr>
      <w:rFonts w:ascii="Symbol" w:hAnsi="Symbol" w:cs="Symbol"/>
      <w:color w:val="000000"/>
    </w:rPr>
  </w:style>
  <w:style w:type="character" w:customStyle="1" w:styleId="atn">
    <w:name w:val="atn"/>
    <w:rsid w:val="006F7FD8"/>
  </w:style>
  <w:style w:type="character" w:customStyle="1" w:styleId="hpsatn">
    <w:name w:val="hps atn"/>
    <w:rsid w:val="006F7FD8"/>
  </w:style>
  <w:style w:type="paragraph" w:customStyle="1" w:styleId="Pa23">
    <w:name w:val="Pa23"/>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27">
    <w:name w:val="Pa27"/>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28">
    <w:name w:val="Pa28"/>
    <w:basedOn w:val="Default"/>
    <w:next w:val="Default"/>
    <w:uiPriority w:val="99"/>
    <w:rsid w:val="006F7FD8"/>
    <w:pPr>
      <w:widowControl/>
      <w:spacing w:line="241" w:lineRule="atLeast"/>
    </w:pPr>
    <w:rPr>
      <w:rFonts w:ascii="Times New Roman" w:hAnsi="Times New Roman" w:cs="Times New Roman"/>
      <w:color w:val="auto"/>
    </w:rPr>
  </w:style>
  <w:style w:type="character" w:customStyle="1" w:styleId="A60">
    <w:name w:val="A6"/>
    <w:uiPriority w:val="99"/>
    <w:rsid w:val="006F7FD8"/>
    <w:rPr>
      <w:color w:val="000000"/>
      <w:sz w:val="28"/>
      <w:szCs w:val="28"/>
    </w:rPr>
  </w:style>
  <w:style w:type="paragraph" w:customStyle="1" w:styleId="ListParagraph3">
    <w:name w:val="List Paragraph3"/>
    <w:basedOn w:val="a"/>
    <w:uiPriority w:val="34"/>
    <w:qFormat/>
    <w:rsid w:val="006F7FD8"/>
    <w:pPr>
      <w:spacing w:before="100"/>
      <w:ind w:left="720"/>
      <w:contextualSpacing/>
    </w:pPr>
    <w:rPr>
      <w:rFonts w:ascii="Times New Roman" w:eastAsia="Calibri" w:hAnsi="Times New Roman" w:cs="Times New Roman"/>
      <w:sz w:val="24"/>
      <w:szCs w:val="20"/>
      <w:lang w:val="en-US" w:eastAsia="zh-CN"/>
    </w:rPr>
  </w:style>
  <w:style w:type="paragraph" w:customStyle="1" w:styleId="Pa20">
    <w:name w:val="Pa20"/>
    <w:basedOn w:val="Default"/>
    <w:next w:val="Default"/>
    <w:uiPriority w:val="99"/>
    <w:rsid w:val="006F7FD8"/>
    <w:pPr>
      <w:widowControl/>
      <w:spacing w:line="261" w:lineRule="atLeast"/>
    </w:pPr>
    <w:rPr>
      <w:rFonts w:ascii="Times New Roman" w:hAnsi="Times New Roman" w:cs="Times New Roman"/>
      <w:color w:val="auto"/>
    </w:rPr>
  </w:style>
  <w:style w:type="paragraph" w:customStyle="1" w:styleId="Pa81">
    <w:name w:val="Pa81"/>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86">
    <w:name w:val="Pa86"/>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90">
    <w:name w:val="Pa90"/>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0">
    <w:name w:val="Pa0"/>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30">
    <w:name w:val="Pa30"/>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34">
    <w:name w:val="Pa34"/>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35">
    <w:name w:val="Pa35"/>
    <w:basedOn w:val="Default"/>
    <w:next w:val="Default"/>
    <w:uiPriority w:val="99"/>
    <w:rsid w:val="006F7FD8"/>
    <w:pPr>
      <w:widowControl/>
      <w:spacing w:line="241" w:lineRule="atLeast"/>
    </w:pPr>
    <w:rPr>
      <w:rFonts w:ascii="Times New Roman" w:hAnsi="Times New Roman" w:cs="Times New Roman"/>
      <w:color w:val="auto"/>
    </w:rPr>
  </w:style>
  <w:style w:type="character" w:customStyle="1" w:styleId="A90">
    <w:name w:val="A9"/>
    <w:uiPriority w:val="99"/>
    <w:rsid w:val="006F7FD8"/>
    <w:rPr>
      <w:color w:val="000000"/>
      <w:sz w:val="16"/>
      <w:szCs w:val="16"/>
    </w:rPr>
  </w:style>
  <w:style w:type="paragraph" w:customStyle="1" w:styleId="Pa37">
    <w:name w:val="Pa37"/>
    <w:basedOn w:val="Default"/>
    <w:next w:val="Default"/>
    <w:uiPriority w:val="99"/>
    <w:rsid w:val="006F7FD8"/>
    <w:pPr>
      <w:widowControl/>
      <w:spacing w:line="241" w:lineRule="atLeast"/>
    </w:pPr>
    <w:rPr>
      <w:rFonts w:ascii="Times New Roman" w:hAnsi="Times New Roman" w:cs="Times New Roman"/>
      <w:color w:val="auto"/>
    </w:rPr>
  </w:style>
  <w:style w:type="character" w:customStyle="1" w:styleId="A10">
    <w:name w:val="A10"/>
    <w:uiPriority w:val="99"/>
    <w:rsid w:val="006F7FD8"/>
    <w:rPr>
      <w:color w:val="000000"/>
      <w:sz w:val="14"/>
      <w:szCs w:val="14"/>
    </w:rPr>
  </w:style>
  <w:style w:type="paragraph" w:customStyle="1" w:styleId="Pa38">
    <w:name w:val="Pa38"/>
    <w:basedOn w:val="Default"/>
    <w:next w:val="Default"/>
    <w:uiPriority w:val="99"/>
    <w:rsid w:val="006F7FD8"/>
    <w:pPr>
      <w:widowControl/>
      <w:spacing w:line="241" w:lineRule="atLeast"/>
    </w:pPr>
    <w:rPr>
      <w:rFonts w:ascii="Times New Roman" w:hAnsi="Times New Roman" w:cs="Times New Roman"/>
      <w:color w:val="auto"/>
    </w:rPr>
  </w:style>
  <w:style w:type="character" w:customStyle="1" w:styleId="A40">
    <w:name w:val="A4"/>
    <w:uiPriority w:val="99"/>
    <w:rsid w:val="006F7FD8"/>
    <w:rPr>
      <w:color w:val="000000"/>
      <w:sz w:val="18"/>
      <w:szCs w:val="18"/>
    </w:rPr>
  </w:style>
  <w:style w:type="paragraph" w:customStyle="1" w:styleId="Pa40">
    <w:name w:val="Pa40"/>
    <w:basedOn w:val="Default"/>
    <w:next w:val="Default"/>
    <w:uiPriority w:val="99"/>
    <w:rsid w:val="006F7FD8"/>
    <w:pPr>
      <w:widowControl/>
      <w:spacing w:line="221" w:lineRule="atLeast"/>
    </w:pPr>
    <w:rPr>
      <w:rFonts w:ascii="Times New Roman" w:hAnsi="Times New Roman" w:cs="Times New Roman"/>
      <w:color w:val="auto"/>
    </w:rPr>
  </w:style>
  <w:style w:type="character" w:customStyle="1" w:styleId="A00">
    <w:name w:val="A0"/>
    <w:uiPriority w:val="99"/>
    <w:rsid w:val="006F7FD8"/>
    <w:rPr>
      <w:color w:val="000000"/>
    </w:rPr>
  </w:style>
  <w:style w:type="paragraph" w:customStyle="1" w:styleId="Pa33">
    <w:name w:val="Pa33"/>
    <w:basedOn w:val="Default"/>
    <w:next w:val="Default"/>
    <w:uiPriority w:val="99"/>
    <w:rsid w:val="006F7FD8"/>
    <w:pPr>
      <w:widowControl/>
      <w:spacing w:line="261" w:lineRule="atLeast"/>
    </w:pPr>
    <w:rPr>
      <w:rFonts w:ascii="Times New Roman" w:hAnsi="Times New Roman" w:cs="Times New Roman"/>
      <w:color w:val="auto"/>
    </w:rPr>
  </w:style>
  <w:style w:type="paragraph" w:customStyle="1" w:styleId="Pa50">
    <w:name w:val="Pa50"/>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Pa47">
    <w:name w:val="Pa47"/>
    <w:basedOn w:val="Default"/>
    <w:next w:val="Default"/>
    <w:uiPriority w:val="99"/>
    <w:rsid w:val="006F7FD8"/>
    <w:pPr>
      <w:widowControl/>
      <w:spacing w:line="241" w:lineRule="atLeast"/>
    </w:pPr>
    <w:rPr>
      <w:rFonts w:ascii="Times New Roman" w:hAnsi="Times New Roman" w:cs="Times New Roman"/>
      <w:color w:val="auto"/>
    </w:rPr>
  </w:style>
  <w:style w:type="paragraph" w:styleId="af5">
    <w:name w:val="Title"/>
    <w:basedOn w:val="a"/>
    <w:next w:val="a"/>
    <w:link w:val="16"/>
    <w:autoRedefine/>
    <w:uiPriority w:val="10"/>
    <w:qFormat/>
    <w:rsid w:val="006F7FD8"/>
    <w:pPr>
      <w:spacing w:after="0"/>
    </w:pPr>
    <w:rPr>
      <w:rFonts w:ascii="Times New Roman" w:eastAsia="SimSun" w:hAnsi="Times New Roman" w:cs="Times New Roman"/>
      <w:b/>
      <w:caps/>
      <w:spacing w:val="10"/>
      <w:sz w:val="24"/>
      <w:szCs w:val="52"/>
      <w:lang w:val="x-none" w:eastAsia="x-none"/>
    </w:rPr>
  </w:style>
  <w:style w:type="character" w:customStyle="1" w:styleId="af6">
    <w:name w:val="Название Знак"/>
    <w:basedOn w:val="a0"/>
    <w:rsid w:val="006F7FD8"/>
    <w:rPr>
      <w:rFonts w:asciiTheme="majorHAnsi" w:eastAsiaTheme="majorEastAsia" w:hAnsiTheme="majorHAnsi" w:cstheme="majorBidi"/>
      <w:color w:val="17365D" w:themeColor="text2" w:themeShade="BF"/>
      <w:spacing w:val="5"/>
      <w:kern w:val="28"/>
      <w:sz w:val="52"/>
      <w:szCs w:val="52"/>
    </w:rPr>
  </w:style>
  <w:style w:type="character" w:customStyle="1" w:styleId="IntenseEmphasis1">
    <w:name w:val="Intense Emphasis1"/>
    <w:uiPriority w:val="21"/>
    <w:rsid w:val="006F7FD8"/>
    <w:rPr>
      <w:b/>
      <w:bCs/>
      <w:i/>
      <w:iCs/>
      <w:color w:val="4F81BD"/>
    </w:rPr>
  </w:style>
  <w:style w:type="character" w:customStyle="1" w:styleId="apple-converted-space">
    <w:name w:val="apple-converted-space"/>
    <w:rsid w:val="006F7FD8"/>
  </w:style>
  <w:style w:type="character" w:styleId="af7">
    <w:name w:val="FollowedHyperlink"/>
    <w:rsid w:val="006F7FD8"/>
    <w:rPr>
      <w:color w:val="800080"/>
      <w:u w:val="single"/>
    </w:rPr>
  </w:style>
  <w:style w:type="character" w:customStyle="1" w:styleId="17">
    <w:name w:val="Название объекта1"/>
    <w:rsid w:val="006F7FD8"/>
  </w:style>
  <w:style w:type="character" w:styleId="af8">
    <w:name w:val="Strong"/>
    <w:uiPriority w:val="22"/>
    <w:qFormat/>
    <w:rsid w:val="006F7FD8"/>
    <w:rPr>
      <w:b/>
      <w:bCs/>
    </w:rPr>
  </w:style>
  <w:style w:type="paragraph" w:styleId="af9">
    <w:name w:val="Normal (Web)"/>
    <w:basedOn w:val="a"/>
    <w:uiPriority w:val="99"/>
    <w:unhideWhenUsed/>
    <w:rsid w:val="006F7FD8"/>
    <w:pPr>
      <w:spacing w:before="100" w:beforeAutospacing="1" w:after="100" w:afterAutospacing="1"/>
    </w:pPr>
    <w:rPr>
      <w:rFonts w:ascii="Times New Roman" w:eastAsia="Times New Roman" w:hAnsi="Times New Roman" w:cs="Times New Roman"/>
      <w:sz w:val="24"/>
      <w:szCs w:val="20"/>
      <w:lang w:val="ro-RO" w:eastAsia="ru-RU"/>
    </w:rPr>
  </w:style>
  <w:style w:type="paragraph" w:customStyle="1" w:styleId="Pa64">
    <w:name w:val="Pa64"/>
    <w:basedOn w:val="Default"/>
    <w:next w:val="Default"/>
    <w:uiPriority w:val="99"/>
    <w:rsid w:val="006F7FD8"/>
    <w:pPr>
      <w:widowControl/>
      <w:spacing w:line="241" w:lineRule="atLeast"/>
    </w:pPr>
    <w:rPr>
      <w:rFonts w:ascii="Times New Roman" w:hAnsi="Times New Roman" w:cs="Times New Roman"/>
      <w:color w:val="auto"/>
    </w:rPr>
  </w:style>
  <w:style w:type="paragraph" w:customStyle="1" w:styleId="ListParagraph2">
    <w:name w:val="List Paragraph2"/>
    <w:basedOn w:val="a"/>
    <w:uiPriority w:val="34"/>
    <w:qFormat/>
    <w:rsid w:val="006F7FD8"/>
    <w:pPr>
      <w:spacing w:before="100"/>
      <w:ind w:left="720"/>
      <w:contextualSpacing/>
    </w:pPr>
    <w:rPr>
      <w:rFonts w:ascii="Times New Roman" w:eastAsia="Calibri" w:hAnsi="Times New Roman" w:cs="Times New Roman"/>
      <w:sz w:val="24"/>
      <w:szCs w:val="20"/>
      <w:lang w:val="en-US" w:eastAsia="zh-CN"/>
    </w:rPr>
  </w:style>
  <w:style w:type="character" w:customStyle="1" w:styleId="fontstyle01">
    <w:name w:val="fontstyle01"/>
    <w:rsid w:val="006F7FD8"/>
    <w:rPr>
      <w:rFonts w:ascii="Helvetica" w:hAnsi="Helvetica" w:hint="default"/>
      <w:b w:val="0"/>
      <w:bCs w:val="0"/>
      <w:i w:val="0"/>
      <w:iCs w:val="0"/>
      <w:color w:val="000000"/>
      <w:sz w:val="20"/>
      <w:szCs w:val="20"/>
    </w:rPr>
  </w:style>
  <w:style w:type="paragraph" w:styleId="afa">
    <w:name w:val="List Paragraph"/>
    <w:basedOn w:val="a"/>
    <w:uiPriority w:val="34"/>
    <w:qFormat/>
    <w:rsid w:val="006F7FD8"/>
    <w:pPr>
      <w:spacing w:before="100"/>
      <w:ind w:left="720"/>
      <w:contextualSpacing/>
    </w:pPr>
    <w:rPr>
      <w:rFonts w:ascii="Times New Roman" w:eastAsia="Times New Roman" w:hAnsi="Times New Roman" w:cs="Times New Roman"/>
      <w:sz w:val="24"/>
      <w:szCs w:val="20"/>
      <w:lang w:val="ro-RO" w:eastAsia="ru-RU"/>
    </w:rPr>
  </w:style>
  <w:style w:type="character" w:customStyle="1" w:styleId="42">
    <w:name w:val="Основной текст (4)_"/>
    <w:link w:val="43"/>
    <w:rsid w:val="006F7FD8"/>
    <w:rPr>
      <w:b/>
      <w:bCs/>
      <w:sz w:val="26"/>
      <w:szCs w:val="26"/>
      <w:shd w:val="clear" w:color="auto" w:fill="FFFFFF"/>
    </w:rPr>
  </w:style>
  <w:style w:type="character" w:customStyle="1" w:styleId="22">
    <w:name w:val="Основной текст (2)_"/>
    <w:rsid w:val="006F7FD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rsid w:val="006F7FD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4">
    <w:name w:val="Основной текст (2) + Полужирный"/>
    <w:rsid w:val="006F7FD8"/>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customStyle="1" w:styleId="43">
    <w:name w:val="Основной текст (4)"/>
    <w:basedOn w:val="a"/>
    <w:link w:val="42"/>
    <w:rsid w:val="006F7FD8"/>
    <w:pPr>
      <w:widowControl w:val="0"/>
      <w:shd w:val="clear" w:color="auto" w:fill="FFFFFF"/>
      <w:spacing w:before="1140" w:after="2640" w:line="0" w:lineRule="atLeast"/>
      <w:jc w:val="center"/>
    </w:pPr>
    <w:rPr>
      <w:b/>
      <w:bCs/>
      <w:sz w:val="26"/>
      <w:szCs w:val="26"/>
    </w:rPr>
  </w:style>
  <w:style w:type="character" w:customStyle="1" w:styleId="fontstyle21">
    <w:name w:val="fontstyle21"/>
    <w:rsid w:val="006F7FD8"/>
    <w:rPr>
      <w:rFonts w:ascii="TimesNewRomanPSMT" w:hAnsi="TimesNewRomanPSMT" w:hint="default"/>
      <w:b w:val="0"/>
      <w:bCs w:val="0"/>
      <w:i w:val="0"/>
      <w:iCs w:val="0"/>
      <w:color w:val="000000"/>
      <w:sz w:val="24"/>
      <w:szCs w:val="24"/>
    </w:rPr>
  </w:style>
  <w:style w:type="character" w:customStyle="1" w:styleId="214pt">
    <w:name w:val="Основной текст (2) + 14 pt"/>
    <w:rsid w:val="006F7FD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5">
    <w:name w:val="Основной текст (2) + Курсив"/>
    <w:rsid w:val="006F7FD8"/>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ontstyle31">
    <w:name w:val="fontstyle31"/>
    <w:rsid w:val="006F7FD8"/>
    <w:rPr>
      <w:rFonts w:ascii="TimesNewRomanPS-BoldMT" w:hAnsi="TimesNewRomanPS-BoldMT" w:hint="default"/>
      <w:b/>
      <w:bCs/>
      <w:i w:val="0"/>
      <w:iCs w:val="0"/>
      <w:color w:val="000000"/>
      <w:sz w:val="28"/>
      <w:szCs w:val="28"/>
    </w:rPr>
  </w:style>
  <w:style w:type="table" w:customStyle="1" w:styleId="TableGrid">
    <w:name w:val="TableGrid"/>
    <w:rsid w:val="006F7FD8"/>
    <w:pPr>
      <w:spacing w:before="100"/>
    </w:pPr>
    <w:rPr>
      <w:rFonts w:ascii="Calibri" w:eastAsia="Times New Roman" w:hAnsi="Calibri" w:cs="Times New Roman"/>
      <w:lang w:eastAsia="ru-RU"/>
    </w:rPr>
    <w:tblPr>
      <w:tblCellMar>
        <w:top w:w="0" w:type="dxa"/>
        <w:left w:w="0" w:type="dxa"/>
        <w:bottom w:w="0" w:type="dxa"/>
        <w:right w:w="0" w:type="dxa"/>
      </w:tblCellMar>
    </w:tblPr>
  </w:style>
  <w:style w:type="paragraph" w:styleId="afb">
    <w:name w:val="caption"/>
    <w:basedOn w:val="a"/>
    <w:next w:val="a"/>
    <w:uiPriority w:val="35"/>
    <w:semiHidden/>
    <w:unhideWhenUsed/>
    <w:qFormat/>
    <w:rsid w:val="006F7FD8"/>
    <w:pPr>
      <w:spacing w:before="100"/>
    </w:pPr>
    <w:rPr>
      <w:rFonts w:ascii="Times New Roman" w:eastAsia="Times New Roman" w:hAnsi="Times New Roman" w:cs="Times New Roman"/>
      <w:b/>
      <w:bCs/>
      <w:color w:val="2E74B5"/>
      <w:sz w:val="16"/>
      <w:szCs w:val="16"/>
      <w:lang w:val="ro-RO" w:eastAsia="ru-RU"/>
    </w:rPr>
  </w:style>
  <w:style w:type="character" w:customStyle="1" w:styleId="16">
    <w:name w:val="Название Знак1"/>
    <w:link w:val="af5"/>
    <w:uiPriority w:val="10"/>
    <w:rsid w:val="006F7FD8"/>
    <w:rPr>
      <w:rFonts w:ascii="Times New Roman" w:eastAsia="SimSun" w:hAnsi="Times New Roman" w:cs="Times New Roman"/>
      <w:b/>
      <w:caps/>
      <w:spacing w:val="10"/>
      <w:sz w:val="24"/>
      <w:szCs w:val="52"/>
      <w:lang w:val="x-none" w:eastAsia="x-none"/>
    </w:rPr>
  </w:style>
  <w:style w:type="paragraph" w:styleId="afc">
    <w:name w:val="Subtitle"/>
    <w:basedOn w:val="a"/>
    <w:next w:val="a"/>
    <w:link w:val="afd"/>
    <w:uiPriority w:val="11"/>
    <w:qFormat/>
    <w:rsid w:val="006F7FD8"/>
    <w:pPr>
      <w:spacing w:after="500" w:line="240" w:lineRule="auto"/>
    </w:pPr>
    <w:rPr>
      <w:rFonts w:ascii="Times New Roman" w:eastAsia="Times New Roman" w:hAnsi="Times New Roman" w:cs="Times New Roman"/>
      <w:caps/>
      <w:color w:val="595959"/>
      <w:spacing w:val="10"/>
      <w:sz w:val="21"/>
      <w:szCs w:val="21"/>
      <w:lang w:val="x-none" w:eastAsia="x-none"/>
    </w:rPr>
  </w:style>
  <w:style w:type="character" w:customStyle="1" w:styleId="afd">
    <w:name w:val="Подзаголовок Знак"/>
    <w:basedOn w:val="a0"/>
    <w:link w:val="afc"/>
    <w:uiPriority w:val="11"/>
    <w:rsid w:val="006F7FD8"/>
    <w:rPr>
      <w:rFonts w:ascii="Times New Roman" w:eastAsia="Times New Roman" w:hAnsi="Times New Roman" w:cs="Times New Roman"/>
      <w:caps/>
      <w:color w:val="595959"/>
      <w:spacing w:val="10"/>
      <w:sz w:val="21"/>
      <w:szCs w:val="21"/>
      <w:lang w:val="x-none" w:eastAsia="x-none"/>
    </w:rPr>
  </w:style>
  <w:style w:type="paragraph" w:styleId="afe">
    <w:name w:val="No Spacing"/>
    <w:uiPriority w:val="1"/>
    <w:qFormat/>
    <w:rsid w:val="006F7FD8"/>
    <w:pPr>
      <w:spacing w:before="100" w:after="0" w:line="240" w:lineRule="auto"/>
    </w:pPr>
    <w:rPr>
      <w:rFonts w:ascii="Calibri" w:eastAsia="Times New Roman" w:hAnsi="Calibri" w:cs="Times New Roman"/>
      <w:sz w:val="20"/>
      <w:szCs w:val="20"/>
      <w:lang w:eastAsia="ru-RU"/>
    </w:rPr>
  </w:style>
  <w:style w:type="paragraph" w:styleId="26">
    <w:name w:val="Quote"/>
    <w:basedOn w:val="a"/>
    <w:next w:val="a"/>
    <w:link w:val="27"/>
    <w:uiPriority w:val="29"/>
    <w:qFormat/>
    <w:rsid w:val="006F7FD8"/>
    <w:pPr>
      <w:spacing w:before="100"/>
    </w:pPr>
    <w:rPr>
      <w:rFonts w:ascii="Times New Roman" w:eastAsia="Times New Roman" w:hAnsi="Times New Roman" w:cs="Times New Roman"/>
      <w:b/>
      <w:iCs/>
      <w:sz w:val="24"/>
      <w:szCs w:val="24"/>
      <w:lang w:val="x-none" w:eastAsia="x-none"/>
    </w:rPr>
  </w:style>
  <w:style w:type="character" w:customStyle="1" w:styleId="27">
    <w:name w:val="Цитата 2 Знак"/>
    <w:basedOn w:val="a0"/>
    <w:link w:val="26"/>
    <w:uiPriority w:val="29"/>
    <w:rsid w:val="006F7FD8"/>
    <w:rPr>
      <w:rFonts w:ascii="Times New Roman" w:eastAsia="Times New Roman" w:hAnsi="Times New Roman" w:cs="Times New Roman"/>
      <w:b/>
      <w:iCs/>
      <w:sz w:val="24"/>
      <w:szCs w:val="24"/>
      <w:lang w:val="x-none" w:eastAsia="x-none"/>
    </w:rPr>
  </w:style>
  <w:style w:type="paragraph" w:styleId="aff">
    <w:name w:val="Intense Quote"/>
    <w:basedOn w:val="a"/>
    <w:next w:val="a"/>
    <w:link w:val="aff0"/>
    <w:uiPriority w:val="30"/>
    <w:qFormat/>
    <w:rsid w:val="006F7FD8"/>
    <w:pPr>
      <w:spacing w:before="240" w:after="240" w:line="240" w:lineRule="auto"/>
      <w:ind w:left="1080" w:right="1080"/>
    </w:pPr>
    <w:rPr>
      <w:rFonts w:ascii="Times New Roman" w:eastAsia="Times New Roman" w:hAnsi="Times New Roman" w:cs="Times New Roman"/>
      <w:b/>
      <w:sz w:val="24"/>
      <w:szCs w:val="24"/>
      <w:lang w:val="x-none" w:eastAsia="x-none"/>
    </w:rPr>
  </w:style>
  <w:style w:type="character" w:customStyle="1" w:styleId="aff0">
    <w:name w:val="Выделенная цитата Знак"/>
    <w:basedOn w:val="a0"/>
    <w:link w:val="aff"/>
    <w:uiPriority w:val="30"/>
    <w:rsid w:val="006F7FD8"/>
    <w:rPr>
      <w:rFonts w:ascii="Times New Roman" w:eastAsia="Times New Roman" w:hAnsi="Times New Roman" w:cs="Times New Roman"/>
      <w:b/>
      <w:sz w:val="24"/>
      <w:szCs w:val="24"/>
      <w:lang w:val="x-none" w:eastAsia="x-none"/>
    </w:rPr>
  </w:style>
  <w:style w:type="character" w:styleId="aff1">
    <w:name w:val="Subtle Emphasis"/>
    <w:uiPriority w:val="19"/>
    <w:qFormat/>
    <w:rsid w:val="006F7FD8"/>
    <w:rPr>
      <w:i/>
      <w:iCs/>
      <w:color w:val="1F4D78"/>
    </w:rPr>
  </w:style>
  <w:style w:type="character" w:styleId="aff2">
    <w:name w:val="Intense Emphasis"/>
    <w:uiPriority w:val="21"/>
    <w:qFormat/>
    <w:rsid w:val="006F7FD8"/>
    <w:rPr>
      <w:b/>
      <w:bCs/>
      <w:caps/>
      <w:color w:val="1F4D78"/>
      <w:spacing w:val="10"/>
    </w:rPr>
  </w:style>
  <w:style w:type="character" w:styleId="aff3">
    <w:name w:val="Subtle Reference"/>
    <w:uiPriority w:val="31"/>
    <w:qFormat/>
    <w:rsid w:val="006F7FD8"/>
    <w:rPr>
      <w:b/>
      <w:bCs/>
      <w:color w:val="5B9BD5"/>
    </w:rPr>
  </w:style>
  <w:style w:type="character" w:styleId="aff4">
    <w:name w:val="Intense Reference"/>
    <w:uiPriority w:val="32"/>
    <w:qFormat/>
    <w:rsid w:val="006F7FD8"/>
    <w:rPr>
      <w:b/>
      <w:bCs/>
      <w:i/>
      <w:iCs/>
      <w:caps/>
      <w:color w:val="5B9BD5"/>
    </w:rPr>
  </w:style>
  <w:style w:type="character" w:styleId="aff5">
    <w:name w:val="Book Title"/>
    <w:uiPriority w:val="33"/>
    <w:qFormat/>
    <w:rsid w:val="006F7FD8"/>
    <w:rPr>
      <w:b/>
      <w:bCs/>
      <w:i/>
      <w:iCs/>
      <w:spacing w:val="0"/>
    </w:rPr>
  </w:style>
  <w:style w:type="paragraph" w:styleId="aff6">
    <w:name w:val="TOC Heading"/>
    <w:basedOn w:val="1"/>
    <w:next w:val="a"/>
    <w:uiPriority w:val="39"/>
    <w:unhideWhenUsed/>
    <w:qFormat/>
    <w:rsid w:val="006F7FD8"/>
    <w:pPr>
      <w:pBdr>
        <w:top w:val="single" w:sz="24" w:space="0" w:color="5B9BD5"/>
        <w:left w:val="single" w:sz="24" w:space="0" w:color="5B9BD5"/>
        <w:bottom w:val="single" w:sz="24" w:space="0" w:color="5B9BD5"/>
        <w:right w:val="single" w:sz="24" w:space="0" w:color="5B9BD5"/>
      </w:pBdr>
      <w:shd w:val="clear" w:color="auto" w:fill="5B9BD5"/>
      <w:outlineLvl w:val="9"/>
    </w:pPr>
    <w:rPr>
      <w:color w:val="FFFFFF"/>
    </w:rPr>
  </w:style>
  <w:style w:type="table" w:styleId="-3">
    <w:name w:val="Table Web 3"/>
    <w:basedOn w:val="a1"/>
    <w:rsid w:val="006F7FD8"/>
    <w:pPr>
      <w:spacing w:before="100"/>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7">
    <w:name w:val="Table Elegant"/>
    <w:basedOn w:val="a1"/>
    <w:rsid w:val="006F7FD8"/>
    <w:pPr>
      <w:spacing w:before="100"/>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Paragraph">
    <w:name w:val="Table Paragraph"/>
    <w:basedOn w:val="a"/>
    <w:uiPriority w:val="1"/>
    <w:qFormat/>
    <w:rsid w:val="006F7FD8"/>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tlid-translation">
    <w:name w:val="tlid-translation"/>
    <w:rsid w:val="006F7FD8"/>
  </w:style>
  <w:style w:type="character" w:customStyle="1" w:styleId="18">
    <w:name w:val="Неразрешенное упоминание1"/>
    <w:uiPriority w:val="99"/>
    <w:semiHidden/>
    <w:unhideWhenUsed/>
    <w:rsid w:val="006F7FD8"/>
    <w:rPr>
      <w:color w:val="605E5C"/>
      <w:shd w:val="clear" w:color="auto" w:fill="E1DFDD"/>
    </w:rPr>
  </w:style>
  <w:style w:type="character" w:customStyle="1" w:styleId="reference-group">
    <w:name w:val="reference-group"/>
    <w:rsid w:val="006F7FD8"/>
  </w:style>
  <w:style w:type="character" w:customStyle="1" w:styleId="inline-treatments">
    <w:name w:val="inline-treatments"/>
    <w:rsid w:val="006F7FD8"/>
  </w:style>
  <w:style w:type="paragraph" w:customStyle="1" w:styleId="Pa51">
    <w:name w:val="Pa51"/>
    <w:basedOn w:val="a"/>
    <w:next w:val="a"/>
    <w:uiPriority w:val="99"/>
    <w:rsid w:val="006F7FD8"/>
    <w:pPr>
      <w:autoSpaceDE w:val="0"/>
      <w:autoSpaceDN w:val="0"/>
      <w:adjustRightInd w:val="0"/>
      <w:spacing w:after="0" w:line="241" w:lineRule="atLeast"/>
    </w:pPr>
    <w:rPr>
      <w:rFonts w:ascii="TradeGothic Light" w:eastAsia="Times New Roman" w:hAnsi="TradeGothic Light" w:cs="Times New Roman"/>
      <w:sz w:val="24"/>
      <w:szCs w:val="24"/>
      <w:lang w:val="en-US"/>
    </w:rPr>
  </w:style>
  <w:style w:type="character" w:customStyle="1" w:styleId="result-to">
    <w:name w:val="result-to"/>
    <w:rsid w:val="006F7FD8"/>
  </w:style>
  <w:style w:type="table" w:styleId="3-5">
    <w:name w:val="Medium Grid 3 Accent 5"/>
    <w:basedOn w:val="a1"/>
    <w:uiPriority w:val="69"/>
    <w:rsid w:val="006F7FD8"/>
    <w:pPr>
      <w:widowControl w:val="0"/>
      <w:spacing w:after="0" w:line="240" w:lineRule="auto"/>
    </w:pPr>
    <w:rPr>
      <w:rFonts w:ascii="Times New Roman" w:eastAsia="Times New Roman" w:hAnsi="Times New Roman" w:cs="Times New Roman"/>
      <w:lang w:val="ro-R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HTML">
    <w:name w:val="HTML Preformatted"/>
    <w:basedOn w:val="a"/>
    <w:link w:val="HTML0"/>
    <w:uiPriority w:val="99"/>
    <w:unhideWhenUsed/>
    <w:rsid w:val="006F7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0"/>
      <w:lang w:val="x-none" w:eastAsia="x-none"/>
    </w:rPr>
  </w:style>
  <w:style w:type="character" w:customStyle="1" w:styleId="HTML0">
    <w:name w:val="Стандартный HTML Знак"/>
    <w:basedOn w:val="a0"/>
    <w:link w:val="HTML"/>
    <w:uiPriority w:val="99"/>
    <w:rsid w:val="006F7FD8"/>
    <w:rPr>
      <w:rFonts w:ascii="Courier New" w:eastAsia="Times New Roman" w:hAnsi="Courier New" w:cs="Times New Roman"/>
      <w:sz w:val="24"/>
      <w:szCs w:val="20"/>
      <w:lang w:val="x-none" w:eastAsia="x-none"/>
    </w:rPr>
  </w:style>
  <w:style w:type="character" w:customStyle="1" w:styleId="A19">
    <w:name w:val="A19"/>
    <w:uiPriority w:val="99"/>
    <w:rsid w:val="006F7FD8"/>
    <w:rPr>
      <w:rFonts w:cs="Avenir LT Std"/>
      <w:color w:val="000000"/>
      <w:sz w:val="11"/>
      <w:szCs w:val="11"/>
    </w:rPr>
  </w:style>
  <w:style w:type="table" w:customStyle="1" w:styleId="TableGrid1">
    <w:name w:val="Table Grid1"/>
    <w:basedOn w:val="a1"/>
    <w:next w:val="a3"/>
    <w:uiPriority w:val="39"/>
    <w:rsid w:val="006F7F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6F7FD8"/>
    <w:pPr>
      <w:spacing w:after="0" w:line="240" w:lineRule="auto"/>
    </w:pPr>
    <w:rPr>
      <w:rFonts w:ascii="Calibri" w:eastAsia="Times New Roman" w:hAnsi="Calibri" w:cs="Times New Roman"/>
      <w:sz w:val="20"/>
      <w:szCs w:val="20"/>
      <w:lang w:eastAsia="ru-RU"/>
    </w:rPr>
  </w:style>
  <w:style w:type="paragraph" w:customStyle="1" w:styleId="bulletindent1">
    <w:name w:val="bulletindent1"/>
    <w:basedOn w:val="a"/>
    <w:rsid w:val="006F7F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2">
    <w:name w:val="h2"/>
    <w:basedOn w:val="a0"/>
    <w:rsid w:val="006F7FD8"/>
  </w:style>
  <w:style w:type="character" w:customStyle="1" w:styleId="h3">
    <w:name w:val="h3"/>
    <w:basedOn w:val="a0"/>
    <w:rsid w:val="006F7FD8"/>
  </w:style>
  <w:style w:type="paragraph" w:customStyle="1" w:styleId="headinganchor">
    <w:name w:val="headinganchor"/>
    <w:basedOn w:val="a"/>
    <w:rsid w:val="006F7F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endmark">
    <w:name w:val="headingendmark"/>
    <w:basedOn w:val="a0"/>
    <w:rsid w:val="006F7FD8"/>
  </w:style>
  <w:style w:type="table" w:styleId="aff9">
    <w:name w:val="Table Theme"/>
    <w:basedOn w:val="a1"/>
    <w:rsid w:val="006F7FD8"/>
    <w:pPr>
      <w:spacing w:before="100"/>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dent2">
    <w:name w:val="bulletindent2"/>
    <w:basedOn w:val="a"/>
    <w:rsid w:val="006F7F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lyph">
    <w:name w:val="glyph"/>
    <w:basedOn w:val="a0"/>
    <w:rsid w:val="006F7FD8"/>
  </w:style>
  <w:style w:type="character" w:customStyle="1" w:styleId="medcalcfonttitlebox">
    <w:name w:val="medcalcfonttitlebox"/>
    <w:basedOn w:val="a0"/>
    <w:rsid w:val="006F7FD8"/>
  </w:style>
  <w:style w:type="character" w:customStyle="1" w:styleId="medcalcfontonebold">
    <w:name w:val="medcalcfontonebold"/>
    <w:basedOn w:val="a0"/>
    <w:rsid w:val="006F7FD8"/>
  </w:style>
  <w:style w:type="character" w:customStyle="1" w:styleId="medcalcfontone">
    <w:name w:val="medcalcfontone"/>
    <w:basedOn w:val="a0"/>
    <w:rsid w:val="006F7FD8"/>
  </w:style>
  <w:style w:type="character" w:customStyle="1" w:styleId="ref-callout-list">
    <w:name w:val="ref-callout-list"/>
    <w:basedOn w:val="a0"/>
    <w:rsid w:val="006F7FD8"/>
  </w:style>
  <w:style w:type="character" w:customStyle="1" w:styleId="drugh1">
    <w:name w:val="drugh1"/>
    <w:basedOn w:val="a0"/>
    <w:rsid w:val="006F7FD8"/>
  </w:style>
  <w:style w:type="character" w:customStyle="1" w:styleId="h4">
    <w:name w:val="h4"/>
    <w:basedOn w:val="a0"/>
    <w:rsid w:val="006F7FD8"/>
  </w:style>
  <w:style w:type="paragraph" w:customStyle="1" w:styleId="msonormal0">
    <w:name w:val="msonormal"/>
    <w:basedOn w:val="a"/>
    <w:rsid w:val="006F7F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line-tablelabel">
    <w:name w:val="inline-table__label"/>
    <w:basedOn w:val="a0"/>
    <w:rsid w:val="006F7FD8"/>
  </w:style>
  <w:style w:type="character" w:customStyle="1" w:styleId="inline-tabletitle">
    <w:name w:val="inline-table__title"/>
    <w:basedOn w:val="a0"/>
    <w:rsid w:val="006F7FD8"/>
  </w:style>
  <w:style w:type="character" w:customStyle="1" w:styleId="UnresolvedMention1">
    <w:name w:val="Unresolved Mention1"/>
    <w:uiPriority w:val="99"/>
    <w:semiHidden/>
    <w:unhideWhenUsed/>
    <w:rsid w:val="006F7FD8"/>
    <w:rPr>
      <w:color w:val="605E5C"/>
      <w:shd w:val="clear" w:color="auto" w:fill="E1DFDD"/>
    </w:rPr>
  </w:style>
  <w:style w:type="character" w:styleId="affa">
    <w:name w:val="annotation reference"/>
    <w:rsid w:val="006F7FD8"/>
    <w:rPr>
      <w:sz w:val="16"/>
      <w:szCs w:val="16"/>
    </w:rPr>
  </w:style>
  <w:style w:type="paragraph" w:styleId="affb">
    <w:name w:val="annotation text"/>
    <w:basedOn w:val="a"/>
    <w:link w:val="affc"/>
    <w:rsid w:val="006F7FD8"/>
    <w:pPr>
      <w:spacing w:before="100"/>
    </w:pPr>
    <w:rPr>
      <w:rFonts w:ascii="Times New Roman" w:eastAsia="Times New Roman" w:hAnsi="Times New Roman" w:cs="Times New Roman"/>
      <w:sz w:val="24"/>
      <w:szCs w:val="20"/>
      <w:lang w:val="ro-RO" w:eastAsia="ru-RU"/>
    </w:rPr>
  </w:style>
  <w:style w:type="character" w:customStyle="1" w:styleId="affc">
    <w:name w:val="Текст примечания Знак"/>
    <w:basedOn w:val="a0"/>
    <w:link w:val="affb"/>
    <w:rsid w:val="006F7FD8"/>
    <w:rPr>
      <w:rFonts w:ascii="Times New Roman" w:eastAsia="Times New Roman" w:hAnsi="Times New Roman" w:cs="Times New Roman"/>
      <w:sz w:val="24"/>
      <w:szCs w:val="20"/>
      <w:lang w:val="ro-RO" w:eastAsia="ru-RU"/>
    </w:rPr>
  </w:style>
  <w:style w:type="paragraph" w:styleId="affd">
    <w:name w:val="annotation subject"/>
    <w:basedOn w:val="affb"/>
    <w:next w:val="affb"/>
    <w:link w:val="affe"/>
    <w:rsid w:val="006F7FD8"/>
    <w:rPr>
      <w:b/>
      <w:bCs/>
    </w:rPr>
  </w:style>
  <w:style w:type="character" w:customStyle="1" w:styleId="affe">
    <w:name w:val="Тема примечания Знак"/>
    <w:basedOn w:val="affc"/>
    <w:link w:val="affd"/>
    <w:rsid w:val="006F7FD8"/>
    <w:rPr>
      <w:rFonts w:ascii="Times New Roman" w:eastAsia="Times New Roman" w:hAnsi="Times New Roman" w:cs="Times New Roman"/>
      <w:b/>
      <w:bCs/>
      <w:sz w:val="24"/>
      <w:szCs w:val="20"/>
      <w:lang w:val="ro-RO" w:eastAsia="ru-RU"/>
    </w:rPr>
  </w:style>
  <w:style w:type="paragraph" w:customStyle="1" w:styleId="Stil1">
    <w:name w:val="Stil1"/>
    <w:basedOn w:val="26"/>
    <w:link w:val="Stil1Caracter"/>
    <w:qFormat/>
    <w:rsid w:val="006F7FD8"/>
  </w:style>
  <w:style w:type="character" w:customStyle="1" w:styleId="Stil1Caracter">
    <w:name w:val="Stil1 Caracter"/>
    <w:basedOn w:val="27"/>
    <w:link w:val="Stil1"/>
    <w:rsid w:val="006F7FD8"/>
    <w:rPr>
      <w:rFonts w:ascii="Times New Roman" w:eastAsia="Times New Roman" w:hAnsi="Times New Roman" w:cs="Times New Roman"/>
      <w:b/>
      <w:iCs/>
      <w:sz w:val="24"/>
      <w:szCs w:val="24"/>
      <w:lang w:val="x-none" w:eastAsia="x-none"/>
    </w:rPr>
  </w:style>
  <w:style w:type="numbering" w:customStyle="1" w:styleId="28">
    <w:name w:val="Нет списка2"/>
    <w:next w:val="a2"/>
    <w:uiPriority w:val="99"/>
    <w:semiHidden/>
    <w:rsid w:val="00C50ADD"/>
  </w:style>
  <w:style w:type="table" w:customStyle="1" w:styleId="29">
    <w:name w:val="Сетка таблицы2"/>
    <w:basedOn w:val="a1"/>
    <w:next w:val="a3"/>
    <w:uiPriority w:val="39"/>
    <w:rsid w:val="00C50AD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толбцы таблицы 51"/>
    <w:basedOn w:val="a1"/>
    <w:next w:val="52"/>
    <w:rsid w:val="00C50ADD"/>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
    <w:name w:val="Современная таблица1"/>
    <w:basedOn w:val="a1"/>
    <w:next w:val="af1"/>
    <w:rsid w:val="00C50ADD"/>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0">
    <w:name w:val="TableGrid1"/>
    <w:rsid w:val="00C50ADD"/>
    <w:pPr>
      <w:spacing w:before="100"/>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1">
    <w:name w:val="Веб-таблица 31"/>
    <w:basedOn w:val="a1"/>
    <w:next w:val="-3"/>
    <w:rsid w:val="00C50ADD"/>
    <w:pPr>
      <w:spacing w:before="100"/>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a">
    <w:name w:val="Изысканная таблица1"/>
    <w:basedOn w:val="a1"/>
    <w:next w:val="aff7"/>
    <w:rsid w:val="00C50ADD"/>
    <w:pPr>
      <w:spacing w:before="100"/>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1">
    <w:name w:val="Средняя сетка 3 - Акцент 51"/>
    <w:basedOn w:val="a1"/>
    <w:next w:val="3-5"/>
    <w:uiPriority w:val="69"/>
    <w:rsid w:val="00C50ADD"/>
    <w:pPr>
      <w:widowControl w:val="0"/>
      <w:spacing w:after="0" w:line="240" w:lineRule="auto"/>
    </w:pPr>
    <w:rPr>
      <w:rFonts w:ascii="Times New Roman" w:eastAsia="Times New Roman" w:hAnsi="Times New Roman" w:cs="Times New Roman"/>
      <w:lang w:val="ro-R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1">
    <w:name w:val="Table Grid11"/>
    <w:basedOn w:val="a1"/>
    <w:next w:val="a3"/>
    <w:uiPriority w:val="39"/>
    <w:rsid w:val="00C50A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Тема таблицы1"/>
    <w:basedOn w:val="a1"/>
    <w:next w:val="aff9"/>
    <w:rsid w:val="00C50ADD"/>
    <w:pPr>
      <w:spacing w:before="100"/>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rsid w:val="00B85449"/>
  </w:style>
  <w:style w:type="table" w:customStyle="1" w:styleId="33">
    <w:name w:val="Сетка таблицы3"/>
    <w:basedOn w:val="a1"/>
    <w:next w:val="a3"/>
    <w:uiPriority w:val="39"/>
    <w:rsid w:val="00B8544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rsid w:val="00FF5E27"/>
  </w:style>
  <w:style w:type="table" w:customStyle="1" w:styleId="45">
    <w:name w:val="Сетка таблицы4"/>
    <w:basedOn w:val="a1"/>
    <w:next w:val="a3"/>
    <w:uiPriority w:val="39"/>
    <w:rsid w:val="00FF5E2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rsid w:val="00854B49"/>
  </w:style>
  <w:style w:type="table" w:customStyle="1" w:styleId="54">
    <w:name w:val="Сетка таблицы5"/>
    <w:basedOn w:val="a1"/>
    <w:next w:val="a3"/>
    <w:uiPriority w:val="39"/>
    <w:rsid w:val="00854B4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толбцы таблицы 52"/>
    <w:basedOn w:val="a1"/>
    <w:next w:val="52"/>
    <w:rsid w:val="00854B49"/>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a">
    <w:name w:val="Современная таблица2"/>
    <w:basedOn w:val="a1"/>
    <w:next w:val="af1"/>
    <w:rsid w:val="00854B49"/>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2b">
    <w:name w:val="Название объекта2"/>
    <w:rsid w:val="00854B49"/>
  </w:style>
  <w:style w:type="table" w:customStyle="1" w:styleId="TableGrid2">
    <w:name w:val="TableGrid2"/>
    <w:rsid w:val="00854B49"/>
    <w:pPr>
      <w:spacing w:before="100"/>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2">
    <w:name w:val="Веб-таблица 32"/>
    <w:basedOn w:val="a1"/>
    <w:next w:val="-3"/>
    <w:rsid w:val="00854B49"/>
    <w:pPr>
      <w:spacing w:before="100"/>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c">
    <w:name w:val="Изысканная таблица2"/>
    <w:basedOn w:val="a1"/>
    <w:next w:val="aff7"/>
    <w:rsid w:val="00854B49"/>
    <w:pPr>
      <w:spacing w:before="100"/>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2">
    <w:name w:val="Средняя сетка 3 - Акцент 52"/>
    <w:basedOn w:val="a1"/>
    <w:next w:val="3-5"/>
    <w:uiPriority w:val="69"/>
    <w:rsid w:val="00854B49"/>
    <w:pPr>
      <w:widowControl w:val="0"/>
      <w:spacing w:after="0" w:line="240" w:lineRule="auto"/>
    </w:pPr>
    <w:rPr>
      <w:rFonts w:ascii="Times New Roman" w:eastAsia="Times New Roman" w:hAnsi="Times New Roman" w:cs="Times New Roman"/>
      <w:lang w:val="ro-R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2">
    <w:name w:val="Table Grid12"/>
    <w:basedOn w:val="a1"/>
    <w:next w:val="a3"/>
    <w:uiPriority w:val="39"/>
    <w:rsid w:val="00854B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Тема таблицы2"/>
    <w:basedOn w:val="a1"/>
    <w:next w:val="aff9"/>
    <w:rsid w:val="00854B49"/>
    <w:pPr>
      <w:spacing w:before="100"/>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rsid w:val="00A262F2"/>
  </w:style>
  <w:style w:type="table" w:customStyle="1" w:styleId="63">
    <w:name w:val="Сетка таблицы6"/>
    <w:basedOn w:val="a1"/>
    <w:next w:val="a3"/>
    <w:uiPriority w:val="39"/>
    <w:rsid w:val="00A262F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толбцы таблицы 53"/>
    <w:basedOn w:val="a1"/>
    <w:next w:val="52"/>
    <w:rsid w:val="00A262F2"/>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4">
    <w:name w:val="Современная таблица3"/>
    <w:basedOn w:val="a1"/>
    <w:next w:val="af1"/>
    <w:rsid w:val="00A262F2"/>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
    <w:name w:val="TableGrid3"/>
    <w:rsid w:val="00A262F2"/>
    <w:pPr>
      <w:spacing w:before="100"/>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3">
    <w:name w:val="Веб-таблица 33"/>
    <w:basedOn w:val="a1"/>
    <w:next w:val="-3"/>
    <w:rsid w:val="00A262F2"/>
    <w:pPr>
      <w:spacing w:before="100"/>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Изысканная таблица3"/>
    <w:basedOn w:val="a1"/>
    <w:next w:val="aff7"/>
    <w:rsid w:val="00A262F2"/>
    <w:pPr>
      <w:spacing w:before="100"/>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3">
    <w:name w:val="Средняя сетка 3 - Акцент 53"/>
    <w:basedOn w:val="a1"/>
    <w:next w:val="3-5"/>
    <w:uiPriority w:val="69"/>
    <w:rsid w:val="00A262F2"/>
    <w:pPr>
      <w:widowControl w:val="0"/>
      <w:spacing w:after="0" w:line="240" w:lineRule="auto"/>
    </w:pPr>
    <w:rPr>
      <w:rFonts w:ascii="Times New Roman" w:eastAsia="Times New Roman" w:hAnsi="Times New Roman" w:cs="Times New Roman"/>
      <w:lang w:val="ro-R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3">
    <w:name w:val="Table Grid13"/>
    <w:basedOn w:val="a1"/>
    <w:next w:val="a3"/>
    <w:uiPriority w:val="39"/>
    <w:rsid w:val="00A26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Тема таблицы3"/>
    <w:basedOn w:val="a1"/>
    <w:next w:val="aff9"/>
    <w:rsid w:val="00A262F2"/>
    <w:pPr>
      <w:spacing w:before="100"/>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rsid w:val="002821B8"/>
  </w:style>
  <w:style w:type="table" w:customStyle="1" w:styleId="73">
    <w:name w:val="Сетка таблицы7"/>
    <w:basedOn w:val="a1"/>
    <w:next w:val="a3"/>
    <w:uiPriority w:val="39"/>
    <w:rsid w:val="002821B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толбцы таблицы 54"/>
    <w:basedOn w:val="a1"/>
    <w:next w:val="52"/>
    <w:rsid w:val="002821B8"/>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6">
    <w:name w:val="Современная таблица4"/>
    <w:basedOn w:val="a1"/>
    <w:next w:val="af1"/>
    <w:rsid w:val="002821B8"/>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4">
    <w:name w:val="Веб-таблица 34"/>
    <w:basedOn w:val="a1"/>
    <w:next w:val="-3"/>
    <w:rsid w:val="002821B8"/>
    <w:pPr>
      <w:spacing w:before="100"/>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7">
    <w:name w:val="Изысканная таблица4"/>
    <w:basedOn w:val="a1"/>
    <w:next w:val="aff7"/>
    <w:rsid w:val="002821B8"/>
    <w:pPr>
      <w:spacing w:before="100"/>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4">
    <w:name w:val="Средняя сетка 3 - Акцент 54"/>
    <w:basedOn w:val="a1"/>
    <w:next w:val="3-5"/>
    <w:uiPriority w:val="69"/>
    <w:rsid w:val="002821B8"/>
    <w:pPr>
      <w:widowControl w:val="0"/>
      <w:spacing w:after="0" w:line="240" w:lineRule="auto"/>
    </w:pPr>
    <w:rPr>
      <w:rFonts w:ascii="Times New Roman" w:eastAsia="Times New Roman" w:hAnsi="Times New Roman" w:cs="Times New Roman"/>
      <w:lang w:val="ro-R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afff">
    <w:name w:val="line number"/>
    <w:basedOn w:val="a0"/>
    <w:uiPriority w:val="99"/>
    <w:semiHidden/>
    <w:unhideWhenUsed/>
    <w:rsid w:val="005F3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www.uptodate.com/contents/sofosbuvir-velpatasvir-and-voxilaprevir-drug-information?search=chronic%20hepatitis%20C&amp;topicRef=15795&amp;source=see_link" TargetMode="External"/><Relationship Id="rId42" Type="http://schemas.openxmlformats.org/officeDocument/2006/relationships/hyperlink" Target="https://www.uptodate.com/contents/direct-acting-antivirals-for-the-treatment-of-hepatitis-c-virus-infection" TargetMode="External"/><Relationship Id="rId47" Type="http://schemas.openxmlformats.org/officeDocument/2006/relationships/hyperlink" Target="https://www.uptodate.com/contents/rifampin-rifampicin-drug-information?search=sofosbuvir&amp;topicRef=93242&amp;source=see_link" TargetMode="External"/><Relationship Id="rId63" Type="http://schemas.openxmlformats.org/officeDocument/2006/relationships/hyperlink" Target="https://www.uptodate.com/contents/sofosbuvir-drug-information?search=sofosbuvir&amp;topicRef=93242&amp;source=see_link" TargetMode="External"/><Relationship Id="rId68" Type="http://schemas.openxmlformats.org/officeDocument/2006/relationships/hyperlink" Target="https://www.uptodate.com/contents/pitavastatin-drug-information?search=sofosbuvir&amp;topicRef=93242&amp;source=see_link" TargetMode="External"/><Relationship Id="rId84" Type="http://schemas.openxmlformats.org/officeDocument/2006/relationships/hyperlink" Target="https://www.uptodate.com/contents/atazanavir-drug-information?search=chronic%20hepatitis%20C%20antiviral%20treatment&amp;topicRef=93242&amp;source=see_link" TargetMode="External"/><Relationship Id="rId89" Type="http://schemas.openxmlformats.org/officeDocument/2006/relationships/hyperlink" Target="https://www.uptodate.com/contents/sofosbuvir-drug-information?search=chronic%20hepatitis%20C%20antiviral%20treatment&amp;topicRef=93242&amp;source=see_link" TargetMode="External"/><Relationship Id="rId16" Type="http://schemas.openxmlformats.org/officeDocument/2006/relationships/hyperlink" Target="https://www.uptodate.com/contents/sofosbuvir-and-velpatasvir-drug-information?search=chronic%20hepatitis%20C&amp;topicRef=15795&amp;source=see_link" TargetMode="External"/><Relationship Id="rId11" Type="http://schemas.openxmlformats.org/officeDocument/2006/relationships/footer" Target="footer3.xml"/><Relationship Id="rId32" Type="http://schemas.openxmlformats.org/officeDocument/2006/relationships/hyperlink" Target="https://www.ncbi.nlm.nih.gov/books/NBK542308/" TargetMode="External"/><Relationship Id="rId37" Type="http://schemas.openxmlformats.org/officeDocument/2006/relationships/hyperlink" Target="https://www.mdcalc.com/" TargetMode="External"/><Relationship Id="rId53" Type="http://schemas.openxmlformats.org/officeDocument/2006/relationships/hyperlink" Target="https://www.uptodate.com/contents/oxcarbazepine-drug-information?search=sofosbuvir&amp;topicRef=93242&amp;source=see_link" TargetMode="External"/><Relationship Id="rId58" Type="http://schemas.openxmlformats.org/officeDocument/2006/relationships/hyperlink" Target="https://www.uptodate.com/contents/sofosbuvir-drug-information?search=sofosbuvir&amp;topicRef=93242&amp;source=see_link" TargetMode="External"/><Relationship Id="rId74" Type="http://schemas.openxmlformats.org/officeDocument/2006/relationships/hyperlink" Target="https://www.uptodate.com/contents/carbamazepine-drug-information?search=sofosbuvir&amp;topicRef=93242&amp;source=see_link" TargetMode="External"/><Relationship Id="rId79" Type="http://schemas.openxmlformats.org/officeDocument/2006/relationships/hyperlink" Target="https://www.uptodate.com/contents/sofosbuvir-drug-information?search=velpatasvir&amp;topicRef=93242&amp;source=see_link" TargetMode="External"/><Relationship Id="rId5" Type="http://schemas.openxmlformats.org/officeDocument/2006/relationships/webSettings" Target="webSettings.xml"/><Relationship Id="rId90" Type="http://schemas.openxmlformats.org/officeDocument/2006/relationships/hyperlink" Target="https://www.uptodate.com/contents/elbasvir-and-grazoprevir-drug-information?search=sofosbuvir&amp;topicRef=93242&amp;source=see_link" TargetMode="External"/><Relationship Id="rId95" Type="http://schemas.openxmlformats.org/officeDocument/2006/relationships/hyperlink" Target="https://www.uptodate.com/contents/ribavirin-drug-information?search=velpatasvir&amp;topicRef=3673&amp;source=see_link" TargetMode="External"/><Relationship Id="rId22" Type="http://schemas.openxmlformats.org/officeDocument/2006/relationships/hyperlink" Target="https://www.uptodate.com/contents/ribavirin-drug-information?search=chronic%20hepatitis%20C&amp;topicRef=15795&amp;source=see_link" TargetMode="External"/><Relationship Id="rId27" Type="http://schemas.openxmlformats.org/officeDocument/2006/relationships/diagramLayout" Target="diagrams/layout1.xml"/><Relationship Id="rId43" Type="http://schemas.openxmlformats.org/officeDocument/2006/relationships/hyperlink" Target="https://www.uptodate.com/contents/sofosbuvir-and-velpatasvir-drug-information?search=chronic%20hepatitis%20C%20antiviral%20treatment&amp;topicRef=16592&amp;source=see_link" TargetMode="External"/><Relationship Id="rId48" Type="http://schemas.openxmlformats.org/officeDocument/2006/relationships/hyperlink" Target="https://www.uptodate.com/contents/rifabutin-drug-information?search=sofosbuvir&amp;topicRef=93242&amp;source=see_link" TargetMode="External"/><Relationship Id="rId64" Type="http://schemas.openxmlformats.org/officeDocument/2006/relationships/hyperlink" Target="https://www.uptodate.com/contents/sofosbuvir-and-velpatasvir-drug-information?search=sofosbuvir&amp;topicRef=93242&amp;source=see_link" TargetMode="External"/><Relationship Id="rId69" Type="http://schemas.openxmlformats.org/officeDocument/2006/relationships/hyperlink" Target="https://www.uptodate.com/drug-interactions" TargetMode="External"/><Relationship Id="rId80" Type="http://schemas.openxmlformats.org/officeDocument/2006/relationships/hyperlink" Target="https://www.uptodate.com/contents/sofosbuvir-drug-information?search=chronic%20hepatitis%20C%20antiviral%20treatment&amp;topicRef=16592&amp;source=see_link" TargetMode="External"/><Relationship Id="rId85" Type="http://schemas.openxmlformats.org/officeDocument/2006/relationships/hyperlink" Target="https://www.uptodate.com/contents/clarithromycin-drug-information?search=chronic%20hepatitis%20C%20antiviral%20treatment&amp;topicRef=93242&amp;source=see_link" TargetMode="External"/><Relationship Id="rId3" Type="http://schemas.openxmlformats.org/officeDocument/2006/relationships/styles" Target="styles.xml"/><Relationship Id="rId12" Type="http://schemas.openxmlformats.org/officeDocument/2006/relationships/hyperlink" Target="https://www.uptodate.com/contents/sofosbuvir-and-velpatasvir-drug-information?search=chronic%20hepatitis%20C&amp;topicRef=16592&amp;source=see_link" TargetMode="External"/><Relationship Id="rId17" Type="http://schemas.openxmlformats.org/officeDocument/2006/relationships/hyperlink" Target="https://www.uptodate.com/contents/ledipasvir-and-sofosbuvir-drug-information?search=chronic%20hepatitis%20C&amp;topicRef=15795&amp;source=see_link" TargetMode="External"/><Relationship Id="rId25" Type="http://schemas.openxmlformats.org/officeDocument/2006/relationships/image" Target="media/image2.png"/><Relationship Id="rId33" Type="http://schemas.openxmlformats.org/officeDocument/2006/relationships/hyperlink" Target="https://www.mdcalc.com/calc/10437/model-end-stage-liver-disease-meld" TargetMode="External"/><Relationship Id="rId38" Type="http://schemas.openxmlformats.org/officeDocument/2006/relationships/hyperlink" Target="https://www.mdcalc.com/calc/3094/ast-platelet-ratio-index-apri" TargetMode="External"/><Relationship Id="rId46" Type="http://schemas.openxmlformats.org/officeDocument/2006/relationships/hyperlink" Target="https://www.uptodate.com/contents/sofosbuvir-and-velpatasvir-drug-information?search=sofosbuvir&amp;topicRef=93242&amp;source=see_link" TargetMode="External"/><Relationship Id="rId59" Type="http://schemas.openxmlformats.org/officeDocument/2006/relationships/hyperlink" Target="https://www.uptodate.com/contents/sofosbuvir-and-velpatasvir-drug-information?search=sofosbuvir&amp;topicRef=93242&amp;source=see_link" TargetMode="External"/><Relationship Id="rId67" Type="http://schemas.openxmlformats.org/officeDocument/2006/relationships/hyperlink" Target="https://www.uptodate.com/contents/atazanavir-drug-information?search=sofosbuvir&amp;topicRef=93242&amp;source=see_link" TargetMode="External"/><Relationship Id="rId20" Type="http://schemas.openxmlformats.org/officeDocument/2006/relationships/hyperlink" Target="https://www.uptodate.com/contents/glecaprevir-and-pibrentasvir-drug-information?search=chronic%20hepatitis%20C&amp;topicRef=15795&amp;source=see_link" TargetMode="External"/><Relationship Id="rId41" Type="http://schemas.openxmlformats.org/officeDocument/2006/relationships/hyperlink" Target="https://doi.org/10.1111/liv.14299" TargetMode="External"/><Relationship Id="rId54" Type="http://schemas.openxmlformats.org/officeDocument/2006/relationships/hyperlink" Target="https://www.uptodate.com/contents/tipranavir-drug-information?search=sofosbuvir&amp;topicRef=93242&amp;source=see_link" TargetMode="External"/><Relationship Id="rId62" Type="http://schemas.openxmlformats.org/officeDocument/2006/relationships/hyperlink" Target="https://www.uptodate.com/contents/sofosbuvir-drug-information?search=sofosbuvir&amp;topicRef=93242&amp;source=see_link" TargetMode="External"/><Relationship Id="rId70" Type="http://schemas.openxmlformats.org/officeDocument/2006/relationships/hyperlink" Target="https://www.uptodate.com/contents/glecaprevir-and-pibrentasvir-drug-information?search=sofosbuvir&amp;topicRef=93242&amp;source=see_link" TargetMode="External"/><Relationship Id="rId75" Type="http://schemas.openxmlformats.org/officeDocument/2006/relationships/hyperlink" Target="https://www.uptodate.com/contents/darunavir-drug-information?search=sofosbuvir&amp;topicRef=93242&amp;source=see_link" TargetMode="External"/><Relationship Id="rId83" Type="http://schemas.openxmlformats.org/officeDocument/2006/relationships/hyperlink" Target="https://www.uptodate.com/contents/carbamazepine-drug-information?search=chronic%20hepatitis%20C%20antiviral%20treatment&amp;topicRef=93242&amp;source=see_link" TargetMode="External"/><Relationship Id="rId88" Type="http://schemas.openxmlformats.org/officeDocument/2006/relationships/hyperlink" Target="https://www.uptodate.com/contents/nafcillin-drug-information?search=chronic%20hepatitis%20C%20antiviral%20treatment&amp;topicRef=93242&amp;source=see_link" TargetMode="External"/><Relationship Id="rId91" Type="http://schemas.openxmlformats.org/officeDocument/2006/relationships/hyperlink" Target="https://www.uptodate.com/contents/elbasvir-and-grazoprevir-drug-information?search=sofosbuvir&amp;topicRef=93242&amp;source=see_link"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ptodate.com/contents/sofosbuvir-velpatasvir-and-voxilaprevir-drug-information?search=chronic%20hepatitis%20C&amp;topicRef=15795&amp;source=see_link" TargetMode="External"/><Relationship Id="rId23" Type="http://schemas.openxmlformats.org/officeDocument/2006/relationships/hyperlink" Target="https://www.uptodate.com/contents/epidemiology-and-transmission-of-hepatitis-c-virus-infection/abstract/19" TargetMode="External"/><Relationship Id="rId28" Type="http://schemas.openxmlformats.org/officeDocument/2006/relationships/diagramQuickStyle" Target="diagrams/quickStyle1.xml"/><Relationship Id="rId36" Type="http://schemas.openxmlformats.org/officeDocument/2006/relationships/hyperlink" Target="https://www.mdcalc.com/" TargetMode="External"/><Relationship Id="rId49" Type="http://schemas.openxmlformats.org/officeDocument/2006/relationships/hyperlink" Target="https://www.uptodate.com/contents/rifapentine-drug-information?search=sofosbuvir&amp;topicRef=93242&amp;source=see_link" TargetMode="External"/><Relationship Id="rId57" Type="http://schemas.openxmlformats.org/officeDocument/2006/relationships/hyperlink" Target="https://www.uptodate.com/contents/sofosbuvir-and-velpatasvir-drug-information?search=sofosbuvir&amp;topicRef=93242&amp;source=see_link" TargetMode="External"/><Relationship Id="rId10" Type="http://schemas.openxmlformats.org/officeDocument/2006/relationships/footer" Target="footer2.xml"/><Relationship Id="rId31" Type="http://schemas.openxmlformats.org/officeDocument/2006/relationships/image" Target="media/image3.png"/><Relationship Id="rId44" Type="http://schemas.openxmlformats.org/officeDocument/2006/relationships/hyperlink" Target="https://www.uptodate.com/contents/sofosbuvir-drug-information?search=chronic%20hepatitis%20C%20antiviral%20treatment&amp;topicRef=16592&amp;source=see_link" TargetMode="External"/><Relationship Id="rId52" Type="http://schemas.openxmlformats.org/officeDocument/2006/relationships/hyperlink" Target="https://www.uptodate.com/contents/phenobarbital-drug-information?search=sofosbuvir&amp;topicRef=93242&amp;source=see_link" TargetMode="External"/><Relationship Id="rId60" Type="http://schemas.openxmlformats.org/officeDocument/2006/relationships/hyperlink" Target="https://www.uptodate.com/drug-interactions" TargetMode="External"/><Relationship Id="rId65" Type="http://schemas.openxmlformats.org/officeDocument/2006/relationships/hyperlink" Target="https://www.uptodate.com/contents/sofosbuvir-velpatasvir-and-voxilaprevir-drug-information?search=sofosbuvir&amp;topicRef=93242&amp;source=see_link" TargetMode="External"/><Relationship Id="rId73" Type="http://schemas.openxmlformats.org/officeDocument/2006/relationships/hyperlink" Target="https://www.uptodate.com/contents/rifampin-rifampicin-drug-information?search=sofosbuvir&amp;topicRef=93242&amp;source=see_link" TargetMode="External"/><Relationship Id="rId78" Type="http://schemas.openxmlformats.org/officeDocument/2006/relationships/hyperlink" Target="https://www.uptodate.com/drug-interactions" TargetMode="External"/><Relationship Id="rId81" Type="http://schemas.openxmlformats.org/officeDocument/2006/relationships/hyperlink" Target="https://www.uptodate.com/contents/rifampin-rifampicin-drug-information?search=chronic%20hepatitis%20C%20antiviral%20treatment&amp;topicRef=93242&amp;source=see_link" TargetMode="External"/><Relationship Id="rId86" Type="http://schemas.openxmlformats.org/officeDocument/2006/relationships/hyperlink" Target="https://www.uptodate.com/contents/efavirenz-drug-information?search=chronic%20hepatitis%20C%20antiviral%20treatment&amp;topicRef=93242&amp;source=see_link" TargetMode="External"/><Relationship Id="rId94" Type="http://schemas.openxmlformats.org/officeDocument/2006/relationships/hyperlink" Target="https://www.hepatitisc.uw.edu/go/key-populations-situations/treatment-hiv-coinfection/core-concept/al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uptodate.com/contents/glecaprevir-and-pibrentasvir-drug-information?search=chronic%20hepatitis%20C&amp;topicRef=16592&amp;source=see_link" TargetMode="External"/><Relationship Id="rId18" Type="http://schemas.openxmlformats.org/officeDocument/2006/relationships/hyperlink" Target="https://www.uptodate.com/contents/sofosbuvir-velpatasvir-and-voxilaprevir-drug-information?search=chronic%20hepatitis%20C&amp;topicRef=15795&amp;source=see_link" TargetMode="External"/><Relationship Id="rId39" Type="http://schemas.openxmlformats.org/officeDocument/2006/relationships/hyperlink" Target="https://www.mdcalc.com/calc/2200/fibrosis-4-fib-4-index-liver-fibrosis" TargetMode="External"/><Relationship Id="rId34" Type="http://schemas.openxmlformats.org/officeDocument/2006/relationships/hyperlink" Target="https://www.cdc.gov/hepatitis/hcv/pdfs/hcv_graph.pdf" TargetMode="External"/><Relationship Id="rId50" Type="http://schemas.openxmlformats.org/officeDocument/2006/relationships/hyperlink" Target="https://www.uptodate.com/contents/carbamazepine-drug-information?search=sofosbuvir&amp;topicRef=93242&amp;source=see_link" TargetMode="External"/><Relationship Id="rId55" Type="http://schemas.openxmlformats.org/officeDocument/2006/relationships/hyperlink" Target="https://www.uptodate.com/contents/ritonavir-drug-information?search=sofosbuvir&amp;topicRef=93242&amp;source=see_link" TargetMode="External"/><Relationship Id="rId76" Type="http://schemas.openxmlformats.org/officeDocument/2006/relationships/hyperlink" Target="https://www.uptodate.com/contents/ritonavir-drug-information?search=sofosbuvir&amp;topicRef=93242&amp;source=see_link"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uptodate.com/contents/glecaprevir-and-pibrentasvir-drug-information?search=sofosbuvir&amp;topicRef=93242&amp;source=see_link" TargetMode="External"/><Relationship Id="rId92" Type="http://schemas.openxmlformats.org/officeDocument/2006/relationships/hyperlink" Target="https://www.uptodate.com/contents/elbasvir-and-grazoprevir-drug-information?search=sofosbuvir&amp;topicRef=93242&amp;source=see_link"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hyperlink" Target="https://www.uptodate.com/contents/characteristics-of-the-hepatitis-c-virus/abstract/13,14" TargetMode="External"/><Relationship Id="rId40" Type="http://schemas.openxmlformats.org/officeDocument/2006/relationships/hyperlink" Target="https://www.hepatitisc.uw.edu/go/screening-diagnosis/epidemiology-us/core-concept/all" TargetMode="External"/><Relationship Id="rId45" Type="http://schemas.openxmlformats.org/officeDocument/2006/relationships/hyperlink" Target="https://www.uptodate.com/contents/sofosbuvir-drug-information?search=sofosbuvir&amp;topicRef=93242&amp;source=see_link" TargetMode="External"/><Relationship Id="rId66" Type="http://schemas.openxmlformats.org/officeDocument/2006/relationships/hyperlink" Target="https://www.uptodate.com/contents/rifampin-rifampicin-drug-information?search=sofosbuvir&amp;topicRef=93242&amp;source=see_link" TargetMode="External"/><Relationship Id="rId87" Type="http://schemas.openxmlformats.org/officeDocument/2006/relationships/hyperlink" Target="https://www.uptodate.com/contents/etravirine-drug-information?search=chronic%20hepatitis%20C%20antiviral%20treatment&amp;topicRef=93242&amp;source=see_link" TargetMode="External"/><Relationship Id="rId61" Type="http://schemas.openxmlformats.org/officeDocument/2006/relationships/hyperlink" Target="https://www.uptodate.com/contents/sofosbuvir-velpatasvir-and-voxilaprevir-drug-information?search=sofosbuvir&amp;topicRef=93242&amp;source=see_link" TargetMode="External"/><Relationship Id="rId82" Type="http://schemas.openxmlformats.org/officeDocument/2006/relationships/hyperlink" Target="https://www.uptodate.com/contents/phenytoin-drug-information?search=chronic%20hepatitis%20C%20antiviral%20treatment&amp;topicRef=93242&amp;source=see_link" TargetMode="External"/><Relationship Id="rId19" Type="http://schemas.openxmlformats.org/officeDocument/2006/relationships/hyperlink" Target="https://www.uptodate.com/contents/ribavirin-drug-information?search=chronic%20hepatitis%20C&amp;topicRef=15795&amp;source=see_link" TargetMode="External"/><Relationship Id="rId14" Type="http://schemas.openxmlformats.org/officeDocument/2006/relationships/hyperlink" Target="https://www.uptodate.com/contents/sofosbuvir-drug-information?search=chronic%20hepatitis%20C&amp;topicRef=16592&amp;source=see_link" TargetMode="External"/><Relationship Id="rId30" Type="http://schemas.microsoft.com/office/2007/relationships/diagramDrawing" Target="diagrams/drawing1.xml"/><Relationship Id="rId35" Type="http://schemas.openxmlformats.org/officeDocument/2006/relationships/hyperlink" Target="http://www.hep-druginteractions.org" TargetMode="External"/><Relationship Id="rId56" Type="http://schemas.openxmlformats.org/officeDocument/2006/relationships/hyperlink" Target="https://www.uptodate.com/contents/efavirenz-drug-information?search=sofosbuvir&amp;topicRef=93242&amp;source=see_link" TargetMode="External"/><Relationship Id="rId77" Type="http://schemas.openxmlformats.org/officeDocument/2006/relationships/hyperlink" Target="https://www.uptodate.com/contents/lovastatin-drug-information?search=sofosbuvir&amp;topicRef=93242&amp;source=see_link" TargetMode="External"/><Relationship Id="rId8" Type="http://schemas.openxmlformats.org/officeDocument/2006/relationships/image" Target="media/image1.png"/><Relationship Id="rId51" Type="http://schemas.openxmlformats.org/officeDocument/2006/relationships/hyperlink" Target="https://www.uptodate.com/contents/phenytoin-drug-information?search=sofosbuvir&amp;topicRef=93242&amp;source=see_link" TargetMode="External"/><Relationship Id="rId72" Type="http://schemas.openxmlformats.org/officeDocument/2006/relationships/hyperlink" Target="https://www.uptodate.com/contents/atazanavir-drug-information?search=sofosbuvir&amp;topicRef=93242&amp;source=see_link" TargetMode="External"/><Relationship Id="rId93" Type="http://schemas.openxmlformats.org/officeDocument/2006/relationships/hyperlink" Target="https://www.hepatitisc.uw.edu/page/treatment/drugs/ledipasvir-sofosbuvi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882D14-14D8-400B-9576-61F5896BC0A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D33E3E77-AE27-4CCB-928D-822C2612090F}">
      <dgm:prSet phldrT="[Text]"/>
      <dgm:spPr>
        <a:xfrm>
          <a:off x="2010994" y="1583"/>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Anticorpi </a:t>
          </a:r>
          <a:endParaRPr lang="ro-RO">
            <a:solidFill>
              <a:sysClr val="window" lastClr="FFFFFF"/>
            </a:solidFill>
            <a:latin typeface="Calibri" panose="020F0502020204030204"/>
            <a:ea typeface="+mn-ea"/>
            <a:cs typeface="+mn-cs"/>
          </a:endParaRPr>
        </a:p>
        <a:p>
          <a:pPr>
            <a:buNone/>
          </a:pPr>
          <a:r>
            <a:rPr lang="en-US">
              <a:solidFill>
                <a:sysClr val="window" lastClr="FFFFFF"/>
              </a:solidFill>
              <a:latin typeface="Calibri" panose="020F0502020204030204"/>
              <a:ea typeface="+mn-ea"/>
              <a:cs typeface="+mn-cs"/>
            </a:rPr>
            <a:t>anti-VHC</a:t>
          </a:r>
          <a:endParaRPr lang="ru-RU">
            <a:solidFill>
              <a:sysClr val="window" lastClr="FFFFFF"/>
            </a:solidFill>
            <a:latin typeface="Calibri" panose="020F0502020204030204"/>
            <a:ea typeface="+mn-ea"/>
            <a:cs typeface="+mn-cs"/>
          </a:endParaRPr>
        </a:p>
      </dgm:t>
    </dgm:pt>
    <dgm:pt modelId="{EF610995-6845-4685-BFB4-4F851AF39482}" type="parTrans" cxnId="{773A8899-778E-4A7A-B162-6018E8A57801}">
      <dgm:prSet/>
      <dgm:spPr/>
      <dgm:t>
        <a:bodyPr/>
        <a:lstStyle/>
        <a:p>
          <a:endParaRPr lang="ru-RU"/>
        </a:p>
      </dgm:t>
    </dgm:pt>
    <dgm:pt modelId="{C8B4B613-902B-470F-81DB-139EDEF05D4D}" type="sibTrans" cxnId="{773A8899-778E-4A7A-B162-6018E8A57801}">
      <dgm:prSet/>
      <dgm:spPr/>
      <dgm:t>
        <a:bodyPr/>
        <a:lstStyle/>
        <a:p>
          <a:endParaRPr lang="ru-RU"/>
        </a:p>
      </dgm:t>
    </dgm:pt>
    <dgm:pt modelId="{E7F3C00B-41D1-42BE-84B6-7AFBCA1FBCFC}">
      <dgm:prSet phldrT="[Text]"/>
      <dgm:spPr>
        <a:xfrm>
          <a:off x="3303702" y="2243593"/>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Nu </a:t>
          </a:r>
          <a:r>
            <a:rPr lang="ro-RO">
              <a:solidFill>
                <a:sysClr val="window" lastClr="FFFFFF"/>
              </a:solidFill>
              <a:latin typeface="Calibri" panose="020F0502020204030204"/>
              <a:ea typeface="+mn-ea"/>
              <a:cs typeface="+mn-cs"/>
            </a:rPr>
            <a:t>se constată</a:t>
          </a:r>
          <a:r>
            <a:rPr lang="en-US">
              <a:solidFill>
                <a:sysClr val="window" lastClr="FFFFFF"/>
              </a:solidFill>
              <a:latin typeface="Calibri" panose="020F0502020204030204"/>
              <a:ea typeface="+mn-ea"/>
              <a:cs typeface="+mn-cs"/>
            </a:rPr>
            <a:t> infe</a:t>
          </a:r>
          <a:r>
            <a:rPr lang="ro-RO">
              <a:solidFill>
                <a:sysClr val="window" lastClr="FFFFFF"/>
              </a:solidFill>
              <a:latin typeface="Calibri" panose="020F0502020204030204"/>
              <a:ea typeface="+mn-ea"/>
              <a:cs typeface="+mn-cs"/>
            </a:rPr>
            <a:t>cție curentă</a:t>
          </a:r>
          <a:endParaRPr lang="ru-RU">
            <a:solidFill>
              <a:sysClr val="window" lastClr="FFFFFF"/>
            </a:solidFill>
            <a:latin typeface="Calibri" panose="020F0502020204030204"/>
            <a:ea typeface="+mn-ea"/>
            <a:cs typeface="+mn-cs"/>
          </a:endParaRPr>
        </a:p>
      </dgm:t>
    </dgm:pt>
    <dgm:pt modelId="{827873AD-8A54-4405-8221-3124BA004CD2}" type="parTrans" cxnId="{014B06FE-BF6A-48B3-901B-432ADEFA3567}">
      <dgm:prSet/>
      <dgm:spPr>
        <a:xfrm>
          <a:off x="3652702" y="2077811"/>
          <a:ext cx="91440" cy="16578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B78311E8-C6FF-44CA-898F-92670AB420B7}" type="sibTrans" cxnId="{014B06FE-BF6A-48B3-901B-432ADEFA3567}">
      <dgm:prSet/>
      <dgm:spPr/>
      <dgm:t>
        <a:bodyPr/>
        <a:lstStyle/>
        <a:p>
          <a:endParaRPr lang="ru-RU"/>
        </a:p>
      </dgm:t>
    </dgm:pt>
    <dgm:pt modelId="{D871C360-CA73-42E4-A302-2741612E92C9}">
      <dgm:prSet/>
      <dgm:spPr>
        <a:xfrm>
          <a:off x="1195897" y="562086"/>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Nonreactiv</a:t>
          </a:r>
          <a:endParaRPr lang="ru-RU">
            <a:solidFill>
              <a:sysClr val="window" lastClr="FFFFFF"/>
            </a:solidFill>
            <a:latin typeface="Calibri" panose="020F0502020204030204"/>
            <a:ea typeface="+mn-ea"/>
            <a:cs typeface="+mn-cs"/>
          </a:endParaRPr>
        </a:p>
      </dgm:t>
    </dgm:pt>
    <dgm:pt modelId="{35D950A6-DA65-4722-86C6-5DAE21A3F41D}" type="parTrans" cxnId="{00BA8D4C-FC05-4F0E-9DB2-C5F85603893D}">
      <dgm:prSet/>
      <dgm:spPr>
        <a:xfrm>
          <a:off x="1590617" y="396303"/>
          <a:ext cx="815096" cy="165782"/>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DDDF6B19-864F-42E2-A228-C2E56D3EDF9C}" type="sibTrans" cxnId="{00BA8D4C-FC05-4F0E-9DB2-C5F85603893D}">
      <dgm:prSet/>
      <dgm:spPr/>
      <dgm:t>
        <a:bodyPr/>
        <a:lstStyle/>
        <a:p>
          <a:endParaRPr lang="ru-RU"/>
        </a:p>
      </dgm:t>
    </dgm:pt>
    <dgm:pt modelId="{0FB8F989-84A5-47AC-BE06-4E63B00EC35F}">
      <dgm:prSet/>
      <dgm:spPr>
        <a:xfrm>
          <a:off x="2826091" y="562086"/>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Reactiv</a:t>
          </a:r>
          <a:endParaRPr lang="ru-RU">
            <a:solidFill>
              <a:sysClr val="window" lastClr="FFFFFF"/>
            </a:solidFill>
            <a:latin typeface="Calibri" panose="020F0502020204030204"/>
            <a:ea typeface="+mn-ea"/>
            <a:cs typeface="+mn-cs"/>
          </a:endParaRPr>
        </a:p>
      </dgm:t>
    </dgm:pt>
    <dgm:pt modelId="{904277C1-3020-4ECF-9854-6BACDD5F5516}" type="parTrans" cxnId="{3FD66BC4-7356-47AB-86C5-12AFDA35D9FC}">
      <dgm:prSet/>
      <dgm:spPr>
        <a:xfrm>
          <a:off x="2405714" y="396303"/>
          <a:ext cx="815096" cy="165782"/>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F9AF5CEC-669D-497C-8D22-5EB3DC8700A2}" type="sibTrans" cxnId="{3FD66BC4-7356-47AB-86C5-12AFDA35D9FC}">
      <dgm:prSet/>
      <dgm:spPr/>
      <dgm:t>
        <a:bodyPr/>
        <a:lstStyle/>
        <a:p>
          <a:endParaRPr lang="ru-RU"/>
        </a:p>
      </dgm:t>
    </dgm:pt>
    <dgm:pt modelId="{FA120650-4268-45A3-B687-B6A87DFCECF0}">
      <dgm:prSet/>
      <dgm:spPr>
        <a:xfrm>
          <a:off x="1195897" y="1122588"/>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o-RO">
              <a:solidFill>
                <a:sysClr val="window" lastClr="FFFFFF"/>
              </a:solidFill>
              <a:latin typeface="Calibri" panose="020F0502020204030204"/>
              <a:ea typeface="+mn-ea"/>
              <a:cs typeface="+mn-cs"/>
            </a:rPr>
            <a:t>Nu sunt prezenți anticorpii</a:t>
          </a:r>
        </a:p>
        <a:p>
          <a:pPr>
            <a:buNone/>
          </a:pPr>
          <a:r>
            <a:rPr lang="ro-RO">
              <a:solidFill>
                <a:sysClr val="window" lastClr="FFFFFF"/>
              </a:solidFill>
              <a:latin typeface="Calibri" panose="020F0502020204030204"/>
              <a:ea typeface="+mn-ea"/>
              <a:cs typeface="+mn-cs"/>
            </a:rPr>
            <a:t>anti-VHC</a:t>
          </a:r>
          <a:endParaRPr lang="ru-RU">
            <a:solidFill>
              <a:sysClr val="window" lastClr="FFFFFF"/>
            </a:solidFill>
            <a:latin typeface="Calibri" panose="020F0502020204030204"/>
            <a:ea typeface="+mn-ea"/>
            <a:cs typeface="+mn-cs"/>
          </a:endParaRPr>
        </a:p>
      </dgm:t>
    </dgm:pt>
    <dgm:pt modelId="{2EB1F74D-7595-4987-AF27-275F2F1CB8D8}" type="parTrans" cxnId="{7613ACA3-70BD-4B39-829E-C68A597AD563}">
      <dgm:prSet/>
      <dgm:spPr>
        <a:xfrm>
          <a:off x="1544897" y="956806"/>
          <a:ext cx="91440" cy="16578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2D9BFECE-4330-49D8-AAB2-ACBB4123F2F9}" type="sibTrans" cxnId="{7613ACA3-70BD-4B39-829E-C68A597AD563}">
      <dgm:prSet/>
      <dgm:spPr/>
      <dgm:t>
        <a:bodyPr/>
        <a:lstStyle/>
        <a:p>
          <a:endParaRPr lang="ru-RU"/>
        </a:p>
      </dgm:t>
    </dgm:pt>
    <dgm:pt modelId="{E09D7419-A092-4C6B-9C47-0AC1AD84B6D9}">
      <dgm:prSet/>
      <dgm:spPr>
        <a:xfrm>
          <a:off x="2826091" y="1122588"/>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Se efectueaza ARN-VHC</a:t>
          </a:r>
          <a:endParaRPr lang="ru-RU">
            <a:solidFill>
              <a:sysClr val="window" lastClr="FFFFFF"/>
            </a:solidFill>
            <a:latin typeface="Calibri" panose="020F0502020204030204"/>
            <a:ea typeface="+mn-ea"/>
            <a:cs typeface="+mn-cs"/>
          </a:endParaRPr>
        </a:p>
      </dgm:t>
    </dgm:pt>
    <dgm:pt modelId="{0E7145F2-71FB-4E62-B776-34C88D847D07}" type="parTrans" cxnId="{F89CF315-9AE2-4C2F-BED8-E546FB4A22DC}">
      <dgm:prSet/>
      <dgm:spPr>
        <a:xfrm>
          <a:off x="3175091" y="956806"/>
          <a:ext cx="91440" cy="16578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4A8F31A4-6E0E-4E4A-9BCF-C044CFCB3A4D}" type="sibTrans" cxnId="{F89CF315-9AE2-4C2F-BED8-E546FB4A22DC}">
      <dgm:prSet/>
      <dgm:spPr/>
      <dgm:t>
        <a:bodyPr/>
        <a:lstStyle/>
        <a:p>
          <a:endParaRPr lang="ru-RU"/>
        </a:p>
      </dgm:t>
    </dgm:pt>
    <dgm:pt modelId="{C71504C4-778E-4358-8959-A5F4760C62F1}">
      <dgm:prSet/>
      <dgm:spPr>
        <a:xfrm>
          <a:off x="1393257" y="1683091"/>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o-RO">
              <a:solidFill>
                <a:sysClr val="window" lastClr="FFFFFF"/>
              </a:solidFill>
              <a:latin typeface="Calibri" panose="020F0502020204030204"/>
              <a:ea typeface="+mn-ea"/>
              <a:cs typeface="+mn-cs"/>
            </a:rPr>
            <a:t>STOP cercetări</a:t>
          </a:r>
          <a:endParaRPr lang="ru-RU">
            <a:solidFill>
              <a:sysClr val="window" lastClr="FFFFFF"/>
            </a:solidFill>
            <a:latin typeface="Calibri" panose="020F0502020204030204"/>
            <a:ea typeface="+mn-ea"/>
            <a:cs typeface="+mn-cs"/>
          </a:endParaRPr>
        </a:p>
      </dgm:t>
    </dgm:pt>
    <dgm:pt modelId="{35FA1C8E-099A-4882-950C-E7C65902BB99}" type="parTrans" cxnId="{844C0A2E-367C-4696-9328-7B2371CCB80C}">
      <dgm:prSet/>
      <dgm:spPr>
        <a:xfrm>
          <a:off x="1274841" y="1517308"/>
          <a:ext cx="118416" cy="36314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7F97F4EE-CAA0-4B6A-9400-D99BEE162B4A}" type="sibTrans" cxnId="{844C0A2E-367C-4696-9328-7B2371CCB80C}">
      <dgm:prSet/>
      <dgm:spPr/>
      <dgm:t>
        <a:bodyPr/>
        <a:lstStyle/>
        <a:p>
          <a:endParaRPr lang="ru-RU"/>
        </a:p>
      </dgm:t>
    </dgm:pt>
    <dgm:pt modelId="{2FE9B768-D0EC-4828-AC06-70844BCDE386}">
      <dgm:prSet/>
      <dgm:spPr>
        <a:xfrm>
          <a:off x="3303702" y="1683091"/>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ARN-VHC Nedetectat -</a:t>
          </a:r>
          <a:endParaRPr lang="ru-RU">
            <a:solidFill>
              <a:sysClr val="window" lastClr="FFFFFF"/>
            </a:solidFill>
            <a:latin typeface="Calibri" panose="020F0502020204030204"/>
            <a:ea typeface="+mn-ea"/>
            <a:cs typeface="+mn-cs"/>
          </a:endParaRPr>
        </a:p>
      </dgm:t>
    </dgm:pt>
    <dgm:pt modelId="{0F982F73-C5F1-402A-9A38-69729EF3B318}" type="parTrans" cxnId="{F76FD7AC-E1AE-4958-9FFB-4957D036375D}">
      <dgm:prSet/>
      <dgm:spPr>
        <a:xfrm>
          <a:off x="3220811" y="1517308"/>
          <a:ext cx="477611" cy="16578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C79868CB-629B-41AE-BF51-96E531C66187}" type="sibTrans" cxnId="{F76FD7AC-E1AE-4958-9FFB-4957D036375D}">
      <dgm:prSet/>
      <dgm:spPr/>
      <dgm:t>
        <a:bodyPr/>
        <a:lstStyle/>
        <a:p>
          <a:endParaRPr lang="ru-RU"/>
        </a:p>
      </dgm:t>
    </dgm:pt>
    <dgm:pt modelId="{B796B42E-B477-48AE-AB11-5C54A27A7B66}">
      <dgm:prSet/>
      <dgm:spPr>
        <a:xfrm>
          <a:off x="2348479" y="2243593"/>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Infec</a:t>
          </a:r>
          <a:r>
            <a:rPr lang="ro-RO">
              <a:solidFill>
                <a:sysClr val="window" lastClr="FFFFFF"/>
              </a:solidFill>
              <a:latin typeface="Calibri" panose="020F0502020204030204"/>
              <a:ea typeface="+mn-ea"/>
              <a:cs typeface="+mn-cs"/>
            </a:rPr>
            <a:t>ți</a:t>
          </a:r>
          <a:r>
            <a:rPr lang="en-US">
              <a:solidFill>
                <a:sysClr val="window" lastClr="FFFFFF"/>
              </a:solidFill>
              <a:latin typeface="Calibri" panose="020F0502020204030204"/>
              <a:ea typeface="+mn-ea"/>
              <a:cs typeface="+mn-cs"/>
            </a:rPr>
            <a:t>e curent</a:t>
          </a:r>
          <a:r>
            <a:rPr lang="ro-RO">
              <a:solidFill>
                <a:sysClr val="window" lastClr="FFFFFF"/>
              </a:solidFill>
              <a:latin typeface="Calibri" panose="020F0502020204030204"/>
              <a:ea typeface="+mn-ea"/>
              <a:cs typeface="+mn-cs"/>
            </a:rPr>
            <a:t>ă </a:t>
          </a:r>
          <a:r>
            <a:rPr lang="en-US">
              <a:solidFill>
                <a:sysClr val="window" lastClr="FFFFFF"/>
              </a:solidFill>
              <a:latin typeface="Calibri" panose="020F0502020204030204"/>
              <a:ea typeface="+mn-ea"/>
              <a:cs typeface="+mn-cs"/>
            </a:rPr>
            <a:t>cu virusul hepatitei C</a:t>
          </a:r>
          <a:endParaRPr lang="ru-RU">
            <a:solidFill>
              <a:sysClr val="window" lastClr="FFFFFF"/>
            </a:solidFill>
            <a:latin typeface="Calibri" panose="020F0502020204030204"/>
            <a:ea typeface="+mn-ea"/>
            <a:cs typeface="+mn-cs"/>
          </a:endParaRPr>
        </a:p>
      </dgm:t>
    </dgm:pt>
    <dgm:pt modelId="{63185657-DF9F-407F-B838-E8B8D6714F8D}" type="parTrans" cxnId="{C67CA301-9073-47C7-B111-CC1548F9E035}">
      <dgm:prSet/>
      <dgm:spPr>
        <a:xfrm>
          <a:off x="2697480" y="2077811"/>
          <a:ext cx="91440" cy="16578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2E07D21E-33BF-42B1-B7A6-C568CEC8C31B}" type="sibTrans" cxnId="{C67CA301-9073-47C7-B111-CC1548F9E035}">
      <dgm:prSet/>
      <dgm:spPr/>
      <dgm:t>
        <a:bodyPr/>
        <a:lstStyle/>
        <a:p>
          <a:endParaRPr lang="ru-RU"/>
        </a:p>
      </dgm:t>
    </dgm:pt>
    <dgm:pt modelId="{137C8963-05B4-4D82-B7FE-E38EB3425B09}">
      <dgm:prSet/>
      <dgm:spPr>
        <a:xfrm>
          <a:off x="3501062" y="2804096"/>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o-RO">
              <a:solidFill>
                <a:sysClr val="window" lastClr="FFFFFF"/>
              </a:solidFill>
              <a:latin typeface="Calibri" panose="020F0502020204030204"/>
              <a:ea typeface="+mn-ea"/>
              <a:cs typeface="+mn-cs"/>
            </a:rPr>
            <a:t>T</a:t>
          </a:r>
          <a:r>
            <a:rPr lang="en-US">
              <a:solidFill>
                <a:sysClr val="window" lastClr="FFFFFF"/>
              </a:solidFill>
              <a:latin typeface="Calibri" panose="020F0502020204030204"/>
              <a:ea typeface="+mn-ea"/>
              <a:cs typeface="+mn-cs"/>
            </a:rPr>
            <a:t>estare suplimentară, după caz</a:t>
          </a:r>
          <a:endParaRPr lang="ru-RU">
            <a:solidFill>
              <a:sysClr val="window" lastClr="FFFFFF"/>
            </a:solidFill>
            <a:latin typeface="Calibri" panose="020F0502020204030204"/>
            <a:ea typeface="+mn-ea"/>
            <a:cs typeface="+mn-cs"/>
          </a:endParaRPr>
        </a:p>
      </dgm:t>
    </dgm:pt>
    <dgm:pt modelId="{411EB9C6-51A9-4731-AF81-875E28CDD566}" type="parTrans" cxnId="{99EBAF08-0E4B-441B-8E16-4BDECBA83E3A}">
      <dgm:prSet/>
      <dgm:spPr>
        <a:xfrm>
          <a:off x="3382646" y="2638313"/>
          <a:ext cx="118416" cy="36314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59939417-BFDC-427E-895B-11C86B47DA21}" type="sibTrans" cxnId="{99EBAF08-0E4B-441B-8E16-4BDECBA83E3A}">
      <dgm:prSet/>
      <dgm:spPr/>
      <dgm:t>
        <a:bodyPr/>
        <a:lstStyle/>
        <a:p>
          <a:endParaRPr lang="ru-RU"/>
        </a:p>
      </dgm:t>
    </dgm:pt>
    <dgm:pt modelId="{6E66315A-DE9C-47EE-9EE1-4E625920D07C}">
      <dgm:prSet/>
      <dgm:spPr>
        <a:xfrm>
          <a:off x="2348479" y="1683091"/>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ARN-VHC </a:t>
          </a:r>
          <a:endParaRPr lang="ro-RO">
            <a:solidFill>
              <a:sysClr val="window" lastClr="FFFFFF"/>
            </a:solidFill>
            <a:latin typeface="Calibri" panose="020F0502020204030204"/>
            <a:ea typeface="+mn-ea"/>
            <a:cs typeface="+mn-cs"/>
          </a:endParaRPr>
        </a:p>
        <a:p>
          <a:pPr>
            <a:buNone/>
          </a:pPr>
          <a:r>
            <a:rPr lang="en-US">
              <a:solidFill>
                <a:sysClr val="window" lastClr="FFFFFF"/>
              </a:solidFill>
              <a:latin typeface="Calibri" panose="020F0502020204030204"/>
              <a:ea typeface="+mn-ea"/>
              <a:cs typeface="+mn-cs"/>
            </a:rPr>
            <a:t>D</a:t>
          </a:r>
          <a:r>
            <a:rPr lang="ro-RO">
              <a:solidFill>
                <a:sysClr val="window" lastClr="FFFFFF"/>
              </a:solidFill>
              <a:latin typeface="Calibri" panose="020F0502020204030204"/>
              <a:ea typeface="+mn-ea"/>
              <a:cs typeface="+mn-cs"/>
            </a:rPr>
            <a:t>ete</a:t>
          </a:r>
          <a:r>
            <a:rPr lang="en-US">
              <a:solidFill>
                <a:sysClr val="window" lastClr="FFFFFF"/>
              </a:solidFill>
              <a:latin typeface="Calibri" panose="020F0502020204030204"/>
              <a:ea typeface="+mn-ea"/>
              <a:cs typeface="+mn-cs"/>
            </a:rPr>
            <a:t>ctat +</a:t>
          </a:r>
          <a:endParaRPr lang="ru-RU">
            <a:solidFill>
              <a:sysClr val="window" lastClr="FFFFFF"/>
            </a:solidFill>
            <a:latin typeface="Calibri" panose="020F0502020204030204"/>
            <a:ea typeface="+mn-ea"/>
            <a:cs typeface="+mn-cs"/>
          </a:endParaRPr>
        </a:p>
      </dgm:t>
    </dgm:pt>
    <dgm:pt modelId="{9A6D75B7-2144-49F3-A167-C95777A9C47C}" type="parTrans" cxnId="{45DA994B-595D-4B5B-B2A4-EBF05ACFFC01}">
      <dgm:prSet/>
      <dgm:spPr>
        <a:xfrm>
          <a:off x="2743200" y="1517308"/>
          <a:ext cx="477611" cy="16578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7F3B6CA1-3410-4BE2-B312-93129933017D}" type="sibTrans" cxnId="{45DA994B-595D-4B5B-B2A4-EBF05ACFFC01}">
      <dgm:prSet/>
      <dgm:spPr/>
      <dgm:t>
        <a:bodyPr/>
        <a:lstStyle/>
        <a:p>
          <a:endParaRPr lang="ru-RU"/>
        </a:p>
      </dgm:t>
    </dgm:pt>
    <dgm:pt modelId="{F8E3C57A-AB1F-4A84-958C-F251361B6024}">
      <dgm:prSet/>
      <dgm:spPr>
        <a:xfrm>
          <a:off x="2545839" y="2804096"/>
          <a:ext cx="789440" cy="3947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o-RO">
              <a:solidFill>
                <a:sysClr val="window" lastClr="FFFFFF"/>
              </a:solidFill>
              <a:latin typeface="Calibri" panose="020F0502020204030204"/>
              <a:ea typeface="+mn-ea"/>
              <a:cs typeface="+mn-cs"/>
            </a:rPr>
            <a:t>Se indică tratament</a:t>
          </a:r>
          <a:endParaRPr lang="ru-RU">
            <a:solidFill>
              <a:sysClr val="window" lastClr="FFFFFF"/>
            </a:solidFill>
            <a:latin typeface="Calibri" panose="020F0502020204030204"/>
            <a:ea typeface="+mn-ea"/>
            <a:cs typeface="+mn-cs"/>
          </a:endParaRPr>
        </a:p>
      </dgm:t>
    </dgm:pt>
    <dgm:pt modelId="{31CAB3B6-8245-4DF4-8C9A-6840AA6DB980}" type="parTrans" cxnId="{7F7E7C7D-7C52-483A-A104-380F55AD7B71}">
      <dgm:prSet/>
      <dgm:spPr>
        <a:xfrm>
          <a:off x="2427423" y="2638313"/>
          <a:ext cx="118416" cy="363142"/>
        </a:xfr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7D0765AF-3C52-4E23-B60A-47490AF2654C}" type="sibTrans" cxnId="{7F7E7C7D-7C52-483A-A104-380F55AD7B71}">
      <dgm:prSet/>
      <dgm:spPr/>
      <dgm:t>
        <a:bodyPr/>
        <a:lstStyle/>
        <a:p>
          <a:endParaRPr lang="ru-RU"/>
        </a:p>
      </dgm:t>
    </dgm:pt>
    <dgm:pt modelId="{18C6D53C-436E-48DB-BE59-7FE74015D11C}" type="pres">
      <dgm:prSet presAssocID="{E9882D14-14D8-400B-9576-61F5896BC0AE}" presName="hierChild1" presStyleCnt="0">
        <dgm:presLayoutVars>
          <dgm:orgChart val="1"/>
          <dgm:chPref val="1"/>
          <dgm:dir/>
          <dgm:animOne val="branch"/>
          <dgm:animLvl val="lvl"/>
          <dgm:resizeHandles/>
        </dgm:presLayoutVars>
      </dgm:prSet>
      <dgm:spPr/>
      <dgm:t>
        <a:bodyPr/>
        <a:lstStyle/>
        <a:p>
          <a:endParaRPr lang="ru-RU"/>
        </a:p>
      </dgm:t>
    </dgm:pt>
    <dgm:pt modelId="{86E970E6-D429-4072-9F0D-29899ED7B071}" type="pres">
      <dgm:prSet presAssocID="{D33E3E77-AE27-4CCB-928D-822C2612090F}" presName="hierRoot1" presStyleCnt="0">
        <dgm:presLayoutVars>
          <dgm:hierBranch val="init"/>
        </dgm:presLayoutVars>
      </dgm:prSet>
      <dgm:spPr/>
    </dgm:pt>
    <dgm:pt modelId="{0A02DC70-E363-4751-A8A7-3BF1282BF2E2}" type="pres">
      <dgm:prSet presAssocID="{D33E3E77-AE27-4CCB-928D-822C2612090F}" presName="rootComposite1" presStyleCnt="0"/>
      <dgm:spPr/>
    </dgm:pt>
    <dgm:pt modelId="{7B400037-4409-4E9A-912B-ECC7221043CE}" type="pres">
      <dgm:prSet presAssocID="{D33E3E77-AE27-4CCB-928D-822C2612090F}" presName="rootText1" presStyleLbl="node0" presStyleIdx="0" presStyleCnt="1">
        <dgm:presLayoutVars>
          <dgm:chPref val="3"/>
        </dgm:presLayoutVars>
      </dgm:prSet>
      <dgm:spPr>
        <a:prstGeom prst="rect">
          <a:avLst/>
        </a:prstGeom>
      </dgm:spPr>
      <dgm:t>
        <a:bodyPr/>
        <a:lstStyle/>
        <a:p>
          <a:endParaRPr lang="ru-RU"/>
        </a:p>
      </dgm:t>
    </dgm:pt>
    <dgm:pt modelId="{C7F4A749-E7EB-4CEC-AA20-6723DE52D9AD}" type="pres">
      <dgm:prSet presAssocID="{D33E3E77-AE27-4CCB-928D-822C2612090F}" presName="rootConnector1" presStyleLbl="node1" presStyleIdx="0" presStyleCnt="0"/>
      <dgm:spPr/>
      <dgm:t>
        <a:bodyPr/>
        <a:lstStyle/>
        <a:p>
          <a:endParaRPr lang="ru-RU"/>
        </a:p>
      </dgm:t>
    </dgm:pt>
    <dgm:pt modelId="{1DC785D9-04C7-4B9B-BB89-708EA758342A}" type="pres">
      <dgm:prSet presAssocID="{D33E3E77-AE27-4CCB-928D-822C2612090F}" presName="hierChild2" presStyleCnt="0"/>
      <dgm:spPr/>
    </dgm:pt>
    <dgm:pt modelId="{BC54B0B2-5C7D-4CA3-9939-221DAA9873C4}" type="pres">
      <dgm:prSet presAssocID="{35D950A6-DA65-4722-86C6-5DAE21A3F41D}" presName="Name37" presStyleLbl="parChTrans1D2" presStyleIdx="0" presStyleCnt="2"/>
      <dgm:spPr>
        <a:custGeom>
          <a:avLst/>
          <a:gdLst/>
          <a:ahLst/>
          <a:cxnLst/>
          <a:rect l="0" t="0" r="0" b="0"/>
          <a:pathLst>
            <a:path>
              <a:moveTo>
                <a:pt x="815096" y="0"/>
              </a:moveTo>
              <a:lnTo>
                <a:pt x="815096" y="82891"/>
              </a:lnTo>
              <a:lnTo>
                <a:pt x="0" y="82891"/>
              </a:lnTo>
              <a:lnTo>
                <a:pt x="0" y="165782"/>
              </a:lnTo>
            </a:path>
          </a:pathLst>
        </a:custGeom>
      </dgm:spPr>
      <dgm:t>
        <a:bodyPr/>
        <a:lstStyle/>
        <a:p>
          <a:endParaRPr lang="ru-RU"/>
        </a:p>
      </dgm:t>
    </dgm:pt>
    <dgm:pt modelId="{451AA6F1-3A72-493F-8351-42EF54C355FE}" type="pres">
      <dgm:prSet presAssocID="{D871C360-CA73-42E4-A302-2741612E92C9}" presName="hierRoot2" presStyleCnt="0">
        <dgm:presLayoutVars>
          <dgm:hierBranch val="init"/>
        </dgm:presLayoutVars>
      </dgm:prSet>
      <dgm:spPr/>
    </dgm:pt>
    <dgm:pt modelId="{F2B377CD-FB1A-4355-9294-0DC9AF73D9CE}" type="pres">
      <dgm:prSet presAssocID="{D871C360-CA73-42E4-A302-2741612E92C9}" presName="rootComposite" presStyleCnt="0"/>
      <dgm:spPr/>
    </dgm:pt>
    <dgm:pt modelId="{233F58D9-97C9-4229-90CE-C9E48013D3F8}" type="pres">
      <dgm:prSet presAssocID="{D871C360-CA73-42E4-A302-2741612E92C9}" presName="rootText" presStyleLbl="node2" presStyleIdx="0" presStyleCnt="2">
        <dgm:presLayoutVars>
          <dgm:chPref val="3"/>
        </dgm:presLayoutVars>
      </dgm:prSet>
      <dgm:spPr>
        <a:prstGeom prst="rect">
          <a:avLst/>
        </a:prstGeom>
      </dgm:spPr>
      <dgm:t>
        <a:bodyPr/>
        <a:lstStyle/>
        <a:p>
          <a:endParaRPr lang="ru-RU"/>
        </a:p>
      </dgm:t>
    </dgm:pt>
    <dgm:pt modelId="{8A454474-C2AE-4BFB-B031-4BE1EAE9DDC2}" type="pres">
      <dgm:prSet presAssocID="{D871C360-CA73-42E4-A302-2741612E92C9}" presName="rootConnector" presStyleLbl="node2" presStyleIdx="0" presStyleCnt="2"/>
      <dgm:spPr/>
      <dgm:t>
        <a:bodyPr/>
        <a:lstStyle/>
        <a:p>
          <a:endParaRPr lang="ru-RU"/>
        </a:p>
      </dgm:t>
    </dgm:pt>
    <dgm:pt modelId="{83D3CA64-2C28-4F34-8D24-9E2DF78FD573}" type="pres">
      <dgm:prSet presAssocID="{D871C360-CA73-42E4-A302-2741612E92C9}" presName="hierChild4" presStyleCnt="0"/>
      <dgm:spPr/>
    </dgm:pt>
    <dgm:pt modelId="{0CFAF786-F4EA-4AA8-8C6E-BEFAD425D248}" type="pres">
      <dgm:prSet presAssocID="{2EB1F74D-7595-4987-AF27-275F2F1CB8D8}" presName="Name37" presStyleLbl="parChTrans1D3" presStyleIdx="0" presStyleCnt="2"/>
      <dgm:spPr>
        <a:custGeom>
          <a:avLst/>
          <a:gdLst/>
          <a:ahLst/>
          <a:cxnLst/>
          <a:rect l="0" t="0" r="0" b="0"/>
          <a:pathLst>
            <a:path>
              <a:moveTo>
                <a:pt x="45720" y="0"/>
              </a:moveTo>
              <a:lnTo>
                <a:pt x="45720" y="165782"/>
              </a:lnTo>
            </a:path>
          </a:pathLst>
        </a:custGeom>
      </dgm:spPr>
      <dgm:t>
        <a:bodyPr/>
        <a:lstStyle/>
        <a:p>
          <a:endParaRPr lang="ru-RU"/>
        </a:p>
      </dgm:t>
    </dgm:pt>
    <dgm:pt modelId="{05C4E57A-C8DE-46AB-A531-6AB6080EA154}" type="pres">
      <dgm:prSet presAssocID="{FA120650-4268-45A3-B687-B6A87DFCECF0}" presName="hierRoot2" presStyleCnt="0">
        <dgm:presLayoutVars>
          <dgm:hierBranch val="init"/>
        </dgm:presLayoutVars>
      </dgm:prSet>
      <dgm:spPr/>
    </dgm:pt>
    <dgm:pt modelId="{40EAC444-35AF-4052-86F9-A0EB2CEA41AD}" type="pres">
      <dgm:prSet presAssocID="{FA120650-4268-45A3-B687-B6A87DFCECF0}" presName="rootComposite" presStyleCnt="0"/>
      <dgm:spPr/>
    </dgm:pt>
    <dgm:pt modelId="{8BBFA3AC-EF93-44CE-BEA4-9E8CCBE4F09D}" type="pres">
      <dgm:prSet presAssocID="{FA120650-4268-45A3-B687-B6A87DFCECF0}" presName="rootText" presStyleLbl="node3" presStyleIdx="0" presStyleCnt="2">
        <dgm:presLayoutVars>
          <dgm:chPref val="3"/>
        </dgm:presLayoutVars>
      </dgm:prSet>
      <dgm:spPr>
        <a:prstGeom prst="rect">
          <a:avLst/>
        </a:prstGeom>
      </dgm:spPr>
      <dgm:t>
        <a:bodyPr/>
        <a:lstStyle/>
        <a:p>
          <a:endParaRPr lang="ru-RU"/>
        </a:p>
      </dgm:t>
    </dgm:pt>
    <dgm:pt modelId="{971D94B3-DE6C-415F-8E97-6206396F9197}" type="pres">
      <dgm:prSet presAssocID="{FA120650-4268-45A3-B687-B6A87DFCECF0}" presName="rootConnector" presStyleLbl="node3" presStyleIdx="0" presStyleCnt="2"/>
      <dgm:spPr/>
      <dgm:t>
        <a:bodyPr/>
        <a:lstStyle/>
        <a:p>
          <a:endParaRPr lang="ru-RU"/>
        </a:p>
      </dgm:t>
    </dgm:pt>
    <dgm:pt modelId="{0565B41D-F05E-4FA7-93C8-22684C970714}" type="pres">
      <dgm:prSet presAssocID="{FA120650-4268-45A3-B687-B6A87DFCECF0}" presName="hierChild4" presStyleCnt="0"/>
      <dgm:spPr/>
    </dgm:pt>
    <dgm:pt modelId="{A3EE1126-4BEF-4487-8365-B27F952FC891}" type="pres">
      <dgm:prSet presAssocID="{35FA1C8E-099A-4882-950C-E7C65902BB99}" presName="Name37" presStyleLbl="parChTrans1D4" presStyleIdx="0" presStyleCnt="7"/>
      <dgm:spPr>
        <a:custGeom>
          <a:avLst/>
          <a:gdLst/>
          <a:ahLst/>
          <a:cxnLst/>
          <a:rect l="0" t="0" r="0" b="0"/>
          <a:pathLst>
            <a:path>
              <a:moveTo>
                <a:pt x="0" y="0"/>
              </a:moveTo>
              <a:lnTo>
                <a:pt x="0" y="363142"/>
              </a:lnTo>
              <a:lnTo>
                <a:pt x="118416" y="363142"/>
              </a:lnTo>
            </a:path>
          </a:pathLst>
        </a:custGeom>
      </dgm:spPr>
      <dgm:t>
        <a:bodyPr/>
        <a:lstStyle/>
        <a:p>
          <a:endParaRPr lang="ru-RU"/>
        </a:p>
      </dgm:t>
    </dgm:pt>
    <dgm:pt modelId="{7BDB340E-0CBF-408B-AC11-BA7D4B05FF31}" type="pres">
      <dgm:prSet presAssocID="{C71504C4-778E-4358-8959-A5F4760C62F1}" presName="hierRoot2" presStyleCnt="0">
        <dgm:presLayoutVars>
          <dgm:hierBranch val="init"/>
        </dgm:presLayoutVars>
      </dgm:prSet>
      <dgm:spPr/>
    </dgm:pt>
    <dgm:pt modelId="{5366693B-DB79-435B-8A11-E02C2011DC44}" type="pres">
      <dgm:prSet presAssocID="{C71504C4-778E-4358-8959-A5F4760C62F1}" presName="rootComposite" presStyleCnt="0"/>
      <dgm:spPr/>
    </dgm:pt>
    <dgm:pt modelId="{FA68E103-4B29-41CC-A11A-E9F5EDA5C4A3}" type="pres">
      <dgm:prSet presAssocID="{C71504C4-778E-4358-8959-A5F4760C62F1}" presName="rootText" presStyleLbl="node4" presStyleIdx="0" presStyleCnt="7">
        <dgm:presLayoutVars>
          <dgm:chPref val="3"/>
        </dgm:presLayoutVars>
      </dgm:prSet>
      <dgm:spPr>
        <a:prstGeom prst="rect">
          <a:avLst/>
        </a:prstGeom>
      </dgm:spPr>
      <dgm:t>
        <a:bodyPr/>
        <a:lstStyle/>
        <a:p>
          <a:endParaRPr lang="ru-RU"/>
        </a:p>
      </dgm:t>
    </dgm:pt>
    <dgm:pt modelId="{A9693C8E-B6BF-49D4-9DFB-C7E9B3BAF454}" type="pres">
      <dgm:prSet presAssocID="{C71504C4-778E-4358-8959-A5F4760C62F1}" presName="rootConnector" presStyleLbl="node4" presStyleIdx="0" presStyleCnt="7"/>
      <dgm:spPr/>
      <dgm:t>
        <a:bodyPr/>
        <a:lstStyle/>
        <a:p>
          <a:endParaRPr lang="ru-RU"/>
        </a:p>
      </dgm:t>
    </dgm:pt>
    <dgm:pt modelId="{C2C0F90B-F8F2-45BB-96E8-12113B7E602E}" type="pres">
      <dgm:prSet presAssocID="{C71504C4-778E-4358-8959-A5F4760C62F1}" presName="hierChild4" presStyleCnt="0"/>
      <dgm:spPr/>
    </dgm:pt>
    <dgm:pt modelId="{15FF35DF-9674-4A1D-84EB-4A2C607E54F9}" type="pres">
      <dgm:prSet presAssocID="{C71504C4-778E-4358-8959-A5F4760C62F1}" presName="hierChild5" presStyleCnt="0"/>
      <dgm:spPr/>
    </dgm:pt>
    <dgm:pt modelId="{DA82ED71-FAEF-474D-9E8D-10F6095DDA04}" type="pres">
      <dgm:prSet presAssocID="{FA120650-4268-45A3-B687-B6A87DFCECF0}" presName="hierChild5" presStyleCnt="0"/>
      <dgm:spPr/>
    </dgm:pt>
    <dgm:pt modelId="{24539533-BD0D-4251-A846-1963957C1EBB}" type="pres">
      <dgm:prSet presAssocID="{D871C360-CA73-42E4-A302-2741612E92C9}" presName="hierChild5" presStyleCnt="0"/>
      <dgm:spPr/>
    </dgm:pt>
    <dgm:pt modelId="{A1EFD96C-DC2E-43C5-893D-3BE530DAF6E5}" type="pres">
      <dgm:prSet presAssocID="{904277C1-3020-4ECF-9854-6BACDD5F5516}" presName="Name37" presStyleLbl="parChTrans1D2" presStyleIdx="1" presStyleCnt="2"/>
      <dgm:spPr>
        <a:custGeom>
          <a:avLst/>
          <a:gdLst/>
          <a:ahLst/>
          <a:cxnLst/>
          <a:rect l="0" t="0" r="0" b="0"/>
          <a:pathLst>
            <a:path>
              <a:moveTo>
                <a:pt x="0" y="0"/>
              </a:moveTo>
              <a:lnTo>
                <a:pt x="0" y="82891"/>
              </a:lnTo>
              <a:lnTo>
                <a:pt x="815096" y="82891"/>
              </a:lnTo>
              <a:lnTo>
                <a:pt x="815096" y="165782"/>
              </a:lnTo>
            </a:path>
          </a:pathLst>
        </a:custGeom>
      </dgm:spPr>
      <dgm:t>
        <a:bodyPr/>
        <a:lstStyle/>
        <a:p>
          <a:endParaRPr lang="ru-RU"/>
        </a:p>
      </dgm:t>
    </dgm:pt>
    <dgm:pt modelId="{B280C4FE-C6E7-44A5-94C8-BB541DB7906B}" type="pres">
      <dgm:prSet presAssocID="{0FB8F989-84A5-47AC-BE06-4E63B00EC35F}" presName="hierRoot2" presStyleCnt="0">
        <dgm:presLayoutVars>
          <dgm:hierBranch val="init"/>
        </dgm:presLayoutVars>
      </dgm:prSet>
      <dgm:spPr/>
    </dgm:pt>
    <dgm:pt modelId="{9FC1EA21-DD7B-4938-B196-44983B03CD8C}" type="pres">
      <dgm:prSet presAssocID="{0FB8F989-84A5-47AC-BE06-4E63B00EC35F}" presName="rootComposite" presStyleCnt="0"/>
      <dgm:spPr/>
    </dgm:pt>
    <dgm:pt modelId="{A4E58290-5B3D-43FC-9AB3-88A638E7723E}" type="pres">
      <dgm:prSet presAssocID="{0FB8F989-84A5-47AC-BE06-4E63B00EC35F}" presName="rootText" presStyleLbl="node2" presStyleIdx="1" presStyleCnt="2">
        <dgm:presLayoutVars>
          <dgm:chPref val="3"/>
        </dgm:presLayoutVars>
      </dgm:prSet>
      <dgm:spPr>
        <a:prstGeom prst="rect">
          <a:avLst/>
        </a:prstGeom>
      </dgm:spPr>
      <dgm:t>
        <a:bodyPr/>
        <a:lstStyle/>
        <a:p>
          <a:endParaRPr lang="ru-RU"/>
        </a:p>
      </dgm:t>
    </dgm:pt>
    <dgm:pt modelId="{11722988-3F8F-45D1-8122-1627D70C0B03}" type="pres">
      <dgm:prSet presAssocID="{0FB8F989-84A5-47AC-BE06-4E63B00EC35F}" presName="rootConnector" presStyleLbl="node2" presStyleIdx="1" presStyleCnt="2"/>
      <dgm:spPr/>
      <dgm:t>
        <a:bodyPr/>
        <a:lstStyle/>
        <a:p>
          <a:endParaRPr lang="ru-RU"/>
        </a:p>
      </dgm:t>
    </dgm:pt>
    <dgm:pt modelId="{C08DB268-36FE-43A5-B732-B3DC02C73075}" type="pres">
      <dgm:prSet presAssocID="{0FB8F989-84A5-47AC-BE06-4E63B00EC35F}" presName="hierChild4" presStyleCnt="0"/>
      <dgm:spPr/>
    </dgm:pt>
    <dgm:pt modelId="{3B1229F2-F1A4-478C-AA09-DB9A77424848}" type="pres">
      <dgm:prSet presAssocID="{0E7145F2-71FB-4E62-B776-34C88D847D07}" presName="Name37" presStyleLbl="parChTrans1D3" presStyleIdx="1" presStyleCnt="2"/>
      <dgm:spPr>
        <a:custGeom>
          <a:avLst/>
          <a:gdLst/>
          <a:ahLst/>
          <a:cxnLst/>
          <a:rect l="0" t="0" r="0" b="0"/>
          <a:pathLst>
            <a:path>
              <a:moveTo>
                <a:pt x="45720" y="0"/>
              </a:moveTo>
              <a:lnTo>
                <a:pt x="45720" y="165782"/>
              </a:lnTo>
            </a:path>
          </a:pathLst>
        </a:custGeom>
      </dgm:spPr>
      <dgm:t>
        <a:bodyPr/>
        <a:lstStyle/>
        <a:p>
          <a:endParaRPr lang="ru-RU"/>
        </a:p>
      </dgm:t>
    </dgm:pt>
    <dgm:pt modelId="{B467962F-7E9C-4186-9A98-F9E48995F56D}" type="pres">
      <dgm:prSet presAssocID="{E09D7419-A092-4C6B-9C47-0AC1AD84B6D9}" presName="hierRoot2" presStyleCnt="0">
        <dgm:presLayoutVars>
          <dgm:hierBranch val="init"/>
        </dgm:presLayoutVars>
      </dgm:prSet>
      <dgm:spPr/>
    </dgm:pt>
    <dgm:pt modelId="{15BB4EA7-74B0-49F5-86BA-C24AED1F4C78}" type="pres">
      <dgm:prSet presAssocID="{E09D7419-A092-4C6B-9C47-0AC1AD84B6D9}" presName="rootComposite" presStyleCnt="0"/>
      <dgm:spPr/>
    </dgm:pt>
    <dgm:pt modelId="{D9BC9151-76EB-48E2-BABD-2CBCCCA0A240}" type="pres">
      <dgm:prSet presAssocID="{E09D7419-A092-4C6B-9C47-0AC1AD84B6D9}" presName="rootText" presStyleLbl="node3" presStyleIdx="1" presStyleCnt="2">
        <dgm:presLayoutVars>
          <dgm:chPref val="3"/>
        </dgm:presLayoutVars>
      </dgm:prSet>
      <dgm:spPr>
        <a:prstGeom prst="rect">
          <a:avLst/>
        </a:prstGeom>
      </dgm:spPr>
      <dgm:t>
        <a:bodyPr/>
        <a:lstStyle/>
        <a:p>
          <a:endParaRPr lang="ru-RU"/>
        </a:p>
      </dgm:t>
    </dgm:pt>
    <dgm:pt modelId="{433B77CE-9C88-4504-90DF-B12F41C69AFE}" type="pres">
      <dgm:prSet presAssocID="{E09D7419-A092-4C6B-9C47-0AC1AD84B6D9}" presName="rootConnector" presStyleLbl="node3" presStyleIdx="1" presStyleCnt="2"/>
      <dgm:spPr/>
      <dgm:t>
        <a:bodyPr/>
        <a:lstStyle/>
        <a:p>
          <a:endParaRPr lang="ru-RU"/>
        </a:p>
      </dgm:t>
    </dgm:pt>
    <dgm:pt modelId="{190AB56B-D86D-4EA5-8441-FC297D43937E}" type="pres">
      <dgm:prSet presAssocID="{E09D7419-A092-4C6B-9C47-0AC1AD84B6D9}" presName="hierChild4" presStyleCnt="0"/>
      <dgm:spPr/>
    </dgm:pt>
    <dgm:pt modelId="{A3D90D8C-C7E1-461A-BDA7-5BBBDDFFEC5A}" type="pres">
      <dgm:prSet presAssocID="{9A6D75B7-2144-49F3-A167-C95777A9C47C}" presName="Name37" presStyleLbl="parChTrans1D4" presStyleIdx="1" presStyleCnt="7"/>
      <dgm:spPr>
        <a:custGeom>
          <a:avLst/>
          <a:gdLst/>
          <a:ahLst/>
          <a:cxnLst/>
          <a:rect l="0" t="0" r="0" b="0"/>
          <a:pathLst>
            <a:path>
              <a:moveTo>
                <a:pt x="477611" y="0"/>
              </a:moveTo>
              <a:lnTo>
                <a:pt x="477611" y="82891"/>
              </a:lnTo>
              <a:lnTo>
                <a:pt x="0" y="82891"/>
              </a:lnTo>
              <a:lnTo>
                <a:pt x="0" y="165782"/>
              </a:lnTo>
            </a:path>
          </a:pathLst>
        </a:custGeom>
      </dgm:spPr>
      <dgm:t>
        <a:bodyPr/>
        <a:lstStyle/>
        <a:p>
          <a:endParaRPr lang="ru-RU"/>
        </a:p>
      </dgm:t>
    </dgm:pt>
    <dgm:pt modelId="{11B82A68-9BA1-4FAA-A757-296C5DFB90E2}" type="pres">
      <dgm:prSet presAssocID="{6E66315A-DE9C-47EE-9EE1-4E625920D07C}" presName="hierRoot2" presStyleCnt="0">
        <dgm:presLayoutVars>
          <dgm:hierBranch val="init"/>
        </dgm:presLayoutVars>
      </dgm:prSet>
      <dgm:spPr/>
    </dgm:pt>
    <dgm:pt modelId="{7E271FF4-A89A-4A2C-9111-AB739471620E}" type="pres">
      <dgm:prSet presAssocID="{6E66315A-DE9C-47EE-9EE1-4E625920D07C}" presName="rootComposite" presStyleCnt="0"/>
      <dgm:spPr/>
    </dgm:pt>
    <dgm:pt modelId="{1B45D2DF-679C-4928-A507-063AD12B3763}" type="pres">
      <dgm:prSet presAssocID="{6E66315A-DE9C-47EE-9EE1-4E625920D07C}" presName="rootText" presStyleLbl="node4" presStyleIdx="1" presStyleCnt="7">
        <dgm:presLayoutVars>
          <dgm:chPref val="3"/>
        </dgm:presLayoutVars>
      </dgm:prSet>
      <dgm:spPr>
        <a:prstGeom prst="rect">
          <a:avLst/>
        </a:prstGeom>
      </dgm:spPr>
      <dgm:t>
        <a:bodyPr/>
        <a:lstStyle/>
        <a:p>
          <a:endParaRPr lang="ru-RU"/>
        </a:p>
      </dgm:t>
    </dgm:pt>
    <dgm:pt modelId="{13B2F61B-3A24-44C4-8458-225B3A3D61B7}" type="pres">
      <dgm:prSet presAssocID="{6E66315A-DE9C-47EE-9EE1-4E625920D07C}" presName="rootConnector" presStyleLbl="node4" presStyleIdx="1" presStyleCnt="7"/>
      <dgm:spPr/>
      <dgm:t>
        <a:bodyPr/>
        <a:lstStyle/>
        <a:p>
          <a:endParaRPr lang="ru-RU"/>
        </a:p>
      </dgm:t>
    </dgm:pt>
    <dgm:pt modelId="{0FE6CF31-2B17-437A-8D1D-16B856FF15DC}" type="pres">
      <dgm:prSet presAssocID="{6E66315A-DE9C-47EE-9EE1-4E625920D07C}" presName="hierChild4" presStyleCnt="0"/>
      <dgm:spPr/>
    </dgm:pt>
    <dgm:pt modelId="{CB37F974-F0B7-4E9A-96C8-EB3C1C141BDB}" type="pres">
      <dgm:prSet presAssocID="{63185657-DF9F-407F-B838-E8B8D6714F8D}" presName="Name37" presStyleLbl="parChTrans1D4" presStyleIdx="2" presStyleCnt="7"/>
      <dgm:spPr>
        <a:custGeom>
          <a:avLst/>
          <a:gdLst/>
          <a:ahLst/>
          <a:cxnLst/>
          <a:rect l="0" t="0" r="0" b="0"/>
          <a:pathLst>
            <a:path>
              <a:moveTo>
                <a:pt x="45720" y="0"/>
              </a:moveTo>
              <a:lnTo>
                <a:pt x="45720" y="165782"/>
              </a:lnTo>
            </a:path>
          </a:pathLst>
        </a:custGeom>
      </dgm:spPr>
      <dgm:t>
        <a:bodyPr/>
        <a:lstStyle/>
        <a:p>
          <a:endParaRPr lang="ru-RU"/>
        </a:p>
      </dgm:t>
    </dgm:pt>
    <dgm:pt modelId="{252A5C64-1387-4E72-A594-E1A23F0B6C77}" type="pres">
      <dgm:prSet presAssocID="{B796B42E-B477-48AE-AB11-5C54A27A7B66}" presName="hierRoot2" presStyleCnt="0">
        <dgm:presLayoutVars>
          <dgm:hierBranch val="init"/>
        </dgm:presLayoutVars>
      </dgm:prSet>
      <dgm:spPr/>
    </dgm:pt>
    <dgm:pt modelId="{8BDA2053-2C60-4FB7-A1BE-AE9C09740F57}" type="pres">
      <dgm:prSet presAssocID="{B796B42E-B477-48AE-AB11-5C54A27A7B66}" presName="rootComposite" presStyleCnt="0"/>
      <dgm:spPr/>
    </dgm:pt>
    <dgm:pt modelId="{4372DAD3-FA7F-41A4-A32B-A64A05369A21}" type="pres">
      <dgm:prSet presAssocID="{B796B42E-B477-48AE-AB11-5C54A27A7B66}" presName="rootText" presStyleLbl="node4" presStyleIdx="2" presStyleCnt="7">
        <dgm:presLayoutVars>
          <dgm:chPref val="3"/>
        </dgm:presLayoutVars>
      </dgm:prSet>
      <dgm:spPr>
        <a:prstGeom prst="rect">
          <a:avLst/>
        </a:prstGeom>
      </dgm:spPr>
      <dgm:t>
        <a:bodyPr/>
        <a:lstStyle/>
        <a:p>
          <a:endParaRPr lang="ru-RU"/>
        </a:p>
      </dgm:t>
    </dgm:pt>
    <dgm:pt modelId="{DA8FB37C-F2AE-40AB-AAC7-BAB7C846FC0D}" type="pres">
      <dgm:prSet presAssocID="{B796B42E-B477-48AE-AB11-5C54A27A7B66}" presName="rootConnector" presStyleLbl="node4" presStyleIdx="2" presStyleCnt="7"/>
      <dgm:spPr/>
      <dgm:t>
        <a:bodyPr/>
        <a:lstStyle/>
        <a:p>
          <a:endParaRPr lang="ru-RU"/>
        </a:p>
      </dgm:t>
    </dgm:pt>
    <dgm:pt modelId="{F081F356-F3E2-4F36-BD1B-D0175B68ABE1}" type="pres">
      <dgm:prSet presAssocID="{B796B42E-B477-48AE-AB11-5C54A27A7B66}" presName="hierChild4" presStyleCnt="0"/>
      <dgm:spPr/>
    </dgm:pt>
    <dgm:pt modelId="{122A06BE-9CD7-4E88-8762-9E134E48223B}" type="pres">
      <dgm:prSet presAssocID="{31CAB3B6-8245-4DF4-8C9A-6840AA6DB980}" presName="Name37" presStyleLbl="parChTrans1D4" presStyleIdx="3" presStyleCnt="7"/>
      <dgm:spPr>
        <a:custGeom>
          <a:avLst/>
          <a:gdLst/>
          <a:ahLst/>
          <a:cxnLst/>
          <a:rect l="0" t="0" r="0" b="0"/>
          <a:pathLst>
            <a:path>
              <a:moveTo>
                <a:pt x="0" y="0"/>
              </a:moveTo>
              <a:lnTo>
                <a:pt x="0" y="363142"/>
              </a:lnTo>
              <a:lnTo>
                <a:pt x="118416" y="363142"/>
              </a:lnTo>
            </a:path>
          </a:pathLst>
        </a:custGeom>
      </dgm:spPr>
      <dgm:t>
        <a:bodyPr/>
        <a:lstStyle/>
        <a:p>
          <a:endParaRPr lang="ru-RU"/>
        </a:p>
      </dgm:t>
    </dgm:pt>
    <dgm:pt modelId="{B91A812D-F242-472E-8769-2A3E3F4D30E6}" type="pres">
      <dgm:prSet presAssocID="{F8E3C57A-AB1F-4A84-958C-F251361B6024}" presName="hierRoot2" presStyleCnt="0">
        <dgm:presLayoutVars>
          <dgm:hierBranch val="init"/>
        </dgm:presLayoutVars>
      </dgm:prSet>
      <dgm:spPr/>
    </dgm:pt>
    <dgm:pt modelId="{12676861-4707-4DFE-8A37-AAC312D022F2}" type="pres">
      <dgm:prSet presAssocID="{F8E3C57A-AB1F-4A84-958C-F251361B6024}" presName="rootComposite" presStyleCnt="0"/>
      <dgm:spPr/>
    </dgm:pt>
    <dgm:pt modelId="{E2EB37DB-D94E-4460-A368-FD324341502C}" type="pres">
      <dgm:prSet presAssocID="{F8E3C57A-AB1F-4A84-958C-F251361B6024}" presName="rootText" presStyleLbl="node4" presStyleIdx="3" presStyleCnt="7">
        <dgm:presLayoutVars>
          <dgm:chPref val="3"/>
        </dgm:presLayoutVars>
      </dgm:prSet>
      <dgm:spPr>
        <a:prstGeom prst="rect">
          <a:avLst/>
        </a:prstGeom>
      </dgm:spPr>
      <dgm:t>
        <a:bodyPr/>
        <a:lstStyle/>
        <a:p>
          <a:endParaRPr lang="ru-RU"/>
        </a:p>
      </dgm:t>
    </dgm:pt>
    <dgm:pt modelId="{82403376-B01B-434B-868C-D48677344349}" type="pres">
      <dgm:prSet presAssocID="{F8E3C57A-AB1F-4A84-958C-F251361B6024}" presName="rootConnector" presStyleLbl="node4" presStyleIdx="3" presStyleCnt="7"/>
      <dgm:spPr/>
      <dgm:t>
        <a:bodyPr/>
        <a:lstStyle/>
        <a:p>
          <a:endParaRPr lang="ru-RU"/>
        </a:p>
      </dgm:t>
    </dgm:pt>
    <dgm:pt modelId="{252FFD13-BEF0-4B64-B58A-7A8862FA860D}" type="pres">
      <dgm:prSet presAssocID="{F8E3C57A-AB1F-4A84-958C-F251361B6024}" presName="hierChild4" presStyleCnt="0"/>
      <dgm:spPr/>
    </dgm:pt>
    <dgm:pt modelId="{567C0BEE-6B2C-4904-B739-EAE43AD97529}" type="pres">
      <dgm:prSet presAssocID="{F8E3C57A-AB1F-4A84-958C-F251361B6024}" presName="hierChild5" presStyleCnt="0"/>
      <dgm:spPr/>
    </dgm:pt>
    <dgm:pt modelId="{5643E8F8-DF3F-4A7B-8936-ED99D772AF3F}" type="pres">
      <dgm:prSet presAssocID="{B796B42E-B477-48AE-AB11-5C54A27A7B66}" presName="hierChild5" presStyleCnt="0"/>
      <dgm:spPr/>
    </dgm:pt>
    <dgm:pt modelId="{A78BA05E-B32C-4005-A2AA-D2A42F100910}" type="pres">
      <dgm:prSet presAssocID="{6E66315A-DE9C-47EE-9EE1-4E625920D07C}" presName="hierChild5" presStyleCnt="0"/>
      <dgm:spPr/>
    </dgm:pt>
    <dgm:pt modelId="{AB99D7BA-19AB-41B2-90E8-9A53AC8AE3CB}" type="pres">
      <dgm:prSet presAssocID="{0F982F73-C5F1-402A-9A38-69729EF3B318}" presName="Name37" presStyleLbl="parChTrans1D4" presStyleIdx="4" presStyleCnt="7"/>
      <dgm:spPr>
        <a:custGeom>
          <a:avLst/>
          <a:gdLst/>
          <a:ahLst/>
          <a:cxnLst/>
          <a:rect l="0" t="0" r="0" b="0"/>
          <a:pathLst>
            <a:path>
              <a:moveTo>
                <a:pt x="0" y="0"/>
              </a:moveTo>
              <a:lnTo>
                <a:pt x="0" y="82891"/>
              </a:lnTo>
              <a:lnTo>
                <a:pt x="477611" y="82891"/>
              </a:lnTo>
              <a:lnTo>
                <a:pt x="477611" y="165782"/>
              </a:lnTo>
            </a:path>
          </a:pathLst>
        </a:custGeom>
      </dgm:spPr>
      <dgm:t>
        <a:bodyPr/>
        <a:lstStyle/>
        <a:p>
          <a:endParaRPr lang="ru-RU"/>
        </a:p>
      </dgm:t>
    </dgm:pt>
    <dgm:pt modelId="{59AC2527-5FBA-482F-8668-C6EE8C77A2CD}" type="pres">
      <dgm:prSet presAssocID="{2FE9B768-D0EC-4828-AC06-70844BCDE386}" presName="hierRoot2" presStyleCnt="0">
        <dgm:presLayoutVars>
          <dgm:hierBranch val="init"/>
        </dgm:presLayoutVars>
      </dgm:prSet>
      <dgm:spPr/>
    </dgm:pt>
    <dgm:pt modelId="{6C522F30-7EAD-4F95-81FA-9B834AB0AA6E}" type="pres">
      <dgm:prSet presAssocID="{2FE9B768-D0EC-4828-AC06-70844BCDE386}" presName="rootComposite" presStyleCnt="0"/>
      <dgm:spPr/>
    </dgm:pt>
    <dgm:pt modelId="{FA3F7EB6-7396-4DCC-9B19-D0F7A289AB32}" type="pres">
      <dgm:prSet presAssocID="{2FE9B768-D0EC-4828-AC06-70844BCDE386}" presName="rootText" presStyleLbl="node4" presStyleIdx="4" presStyleCnt="7">
        <dgm:presLayoutVars>
          <dgm:chPref val="3"/>
        </dgm:presLayoutVars>
      </dgm:prSet>
      <dgm:spPr>
        <a:prstGeom prst="rect">
          <a:avLst/>
        </a:prstGeom>
      </dgm:spPr>
      <dgm:t>
        <a:bodyPr/>
        <a:lstStyle/>
        <a:p>
          <a:endParaRPr lang="ru-RU"/>
        </a:p>
      </dgm:t>
    </dgm:pt>
    <dgm:pt modelId="{C57FAD25-33B5-4484-8FBF-A3C983309998}" type="pres">
      <dgm:prSet presAssocID="{2FE9B768-D0EC-4828-AC06-70844BCDE386}" presName="rootConnector" presStyleLbl="node4" presStyleIdx="4" presStyleCnt="7"/>
      <dgm:spPr/>
      <dgm:t>
        <a:bodyPr/>
        <a:lstStyle/>
        <a:p>
          <a:endParaRPr lang="ru-RU"/>
        </a:p>
      </dgm:t>
    </dgm:pt>
    <dgm:pt modelId="{36F98722-5CFD-41E4-94A7-E761813A96B6}" type="pres">
      <dgm:prSet presAssocID="{2FE9B768-D0EC-4828-AC06-70844BCDE386}" presName="hierChild4" presStyleCnt="0"/>
      <dgm:spPr/>
    </dgm:pt>
    <dgm:pt modelId="{9AF99A19-4B38-45AC-9A54-284998134E10}" type="pres">
      <dgm:prSet presAssocID="{827873AD-8A54-4405-8221-3124BA004CD2}" presName="Name37" presStyleLbl="parChTrans1D4" presStyleIdx="5" presStyleCnt="7"/>
      <dgm:spPr>
        <a:custGeom>
          <a:avLst/>
          <a:gdLst/>
          <a:ahLst/>
          <a:cxnLst/>
          <a:rect l="0" t="0" r="0" b="0"/>
          <a:pathLst>
            <a:path>
              <a:moveTo>
                <a:pt x="45720" y="0"/>
              </a:moveTo>
              <a:lnTo>
                <a:pt x="45720" y="165782"/>
              </a:lnTo>
            </a:path>
          </a:pathLst>
        </a:custGeom>
      </dgm:spPr>
      <dgm:t>
        <a:bodyPr/>
        <a:lstStyle/>
        <a:p>
          <a:endParaRPr lang="ru-RU"/>
        </a:p>
      </dgm:t>
    </dgm:pt>
    <dgm:pt modelId="{87F2524A-C859-49C4-97E0-A27B8D007913}" type="pres">
      <dgm:prSet presAssocID="{E7F3C00B-41D1-42BE-84B6-7AFBCA1FBCFC}" presName="hierRoot2" presStyleCnt="0">
        <dgm:presLayoutVars>
          <dgm:hierBranch val="init"/>
        </dgm:presLayoutVars>
      </dgm:prSet>
      <dgm:spPr/>
    </dgm:pt>
    <dgm:pt modelId="{F89EF892-C820-4191-B171-AB6868803A7E}" type="pres">
      <dgm:prSet presAssocID="{E7F3C00B-41D1-42BE-84B6-7AFBCA1FBCFC}" presName="rootComposite" presStyleCnt="0"/>
      <dgm:spPr/>
    </dgm:pt>
    <dgm:pt modelId="{D64D8278-B667-463D-9CC4-43A4A027B62D}" type="pres">
      <dgm:prSet presAssocID="{E7F3C00B-41D1-42BE-84B6-7AFBCA1FBCFC}" presName="rootText" presStyleLbl="node4" presStyleIdx="5" presStyleCnt="7">
        <dgm:presLayoutVars>
          <dgm:chPref val="3"/>
        </dgm:presLayoutVars>
      </dgm:prSet>
      <dgm:spPr>
        <a:prstGeom prst="rect">
          <a:avLst/>
        </a:prstGeom>
      </dgm:spPr>
      <dgm:t>
        <a:bodyPr/>
        <a:lstStyle/>
        <a:p>
          <a:endParaRPr lang="ru-RU"/>
        </a:p>
      </dgm:t>
    </dgm:pt>
    <dgm:pt modelId="{08BD15EA-4CF8-4EE4-BF08-F3AE19F521D8}" type="pres">
      <dgm:prSet presAssocID="{E7F3C00B-41D1-42BE-84B6-7AFBCA1FBCFC}" presName="rootConnector" presStyleLbl="node4" presStyleIdx="5" presStyleCnt="7"/>
      <dgm:spPr/>
      <dgm:t>
        <a:bodyPr/>
        <a:lstStyle/>
        <a:p>
          <a:endParaRPr lang="ru-RU"/>
        </a:p>
      </dgm:t>
    </dgm:pt>
    <dgm:pt modelId="{EF7C2518-1497-4A79-8C9E-16CB405A0157}" type="pres">
      <dgm:prSet presAssocID="{E7F3C00B-41D1-42BE-84B6-7AFBCA1FBCFC}" presName="hierChild4" presStyleCnt="0"/>
      <dgm:spPr/>
    </dgm:pt>
    <dgm:pt modelId="{A1951B5A-0DF0-43C9-8FAF-68AF2C048925}" type="pres">
      <dgm:prSet presAssocID="{411EB9C6-51A9-4731-AF81-875E28CDD566}" presName="Name37" presStyleLbl="parChTrans1D4" presStyleIdx="6" presStyleCnt="7"/>
      <dgm:spPr>
        <a:custGeom>
          <a:avLst/>
          <a:gdLst/>
          <a:ahLst/>
          <a:cxnLst/>
          <a:rect l="0" t="0" r="0" b="0"/>
          <a:pathLst>
            <a:path>
              <a:moveTo>
                <a:pt x="0" y="0"/>
              </a:moveTo>
              <a:lnTo>
                <a:pt x="0" y="363142"/>
              </a:lnTo>
              <a:lnTo>
                <a:pt x="118416" y="363142"/>
              </a:lnTo>
            </a:path>
          </a:pathLst>
        </a:custGeom>
      </dgm:spPr>
      <dgm:t>
        <a:bodyPr/>
        <a:lstStyle/>
        <a:p>
          <a:endParaRPr lang="ru-RU"/>
        </a:p>
      </dgm:t>
    </dgm:pt>
    <dgm:pt modelId="{78DBF761-8057-414B-ACB8-378947479FF1}" type="pres">
      <dgm:prSet presAssocID="{137C8963-05B4-4D82-B7FE-E38EB3425B09}" presName="hierRoot2" presStyleCnt="0">
        <dgm:presLayoutVars>
          <dgm:hierBranch val="init"/>
        </dgm:presLayoutVars>
      </dgm:prSet>
      <dgm:spPr/>
    </dgm:pt>
    <dgm:pt modelId="{CEFE6CC5-D3F3-4052-8B22-8462B68FCF48}" type="pres">
      <dgm:prSet presAssocID="{137C8963-05B4-4D82-B7FE-E38EB3425B09}" presName="rootComposite" presStyleCnt="0"/>
      <dgm:spPr/>
    </dgm:pt>
    <dgm:pt modelId="{07BDBC78-1761-434F-95A6-5A2FFC7934A6}" type="pres">
      <dgm:prSet presAssocID="{137C8963-05B4-4D82-B7FE-E38EB3425B09}" presName="rootText" presStyleLbl="node4" presStyleIdx="6" presStyleCnt="7">
        <dgm:presLayoutVars>
          <dgm:chPref val="3"/>
        </dgm:presLayoutVars>
      </dgm:prSet>
      <dgm:spPr>
        <a:prstGeom prst="rect">
          <a:avLst/>
        </a:prstGeom>
      </dgm:spPr>
      <dgm:t>
        <a:bodyPr/>
        <a:lstStyle/>
        <a:p>
          <a:endParaRPr lang="ru-RU"/>
        </a:p>
      </dgm:t>
    </dgm:pt>
    <dgm:pt modelId="{4C0CACA1-232C-4338-B572-67E7470766E7}" type="pres">
      <dgm:prSet presAssocID="{137C8963-05B4-4D82-B7FE-E38EB3425B09}" presName="rootConnector" presStyleLbl="node4" presStyleIdx="6" presStyleCnt="7"/>
      <dgm:spPr/>
      <dgm:t>
        <a:bodyPr/>
        <a:lstStyle/>
        <a:p>
          <a:endParaRPr lang="ru-RU"/>
        </a:p>
      </dgm:t>
    </dgm:pt>
    <dgm:pt modelId="{001D72C3-F6F2-47E4-93A8-2515E6BF600F}" type="pres">
      <dgm:prSet presAssocID="{137C8963-05B4-4D82-B7FE-E38EB3425B09}" presName="hierChild4" presStyleCnt="0"/>
      <dgm:spPr/>
    </dgm:pt>
    <dgm:pt modelId="{95931A72-3F9F-4736-ABC0-E6D04E065CFC}" type="pres">
      <dgm:prSet presAssocID="{137C8963-05B4-4D82-B7FE-E38EB3425B09}" presName="hierChild5" presStyleCnt="0"/>
      <dgm:spPr/>
    </dgm:pt>
    <dgm:pt modelId="{E5E1B455-D4E3-4E3E-ACF5-5D8F9EE17395}" type="pres">
      <dgm:prSet presAssocID="{E7F3C00B-41D1-42BE-84B6-7AFBCA1FBCFC}" presName="hierChild5" presStyleCnt="0"/>
      <dgm:spPr/>
    </dgm:pt>
    <dgm:pt modelId="{41A1C886-ED74-4205-9A33-DBF456EDF311}" type="pres">
      <dgm:prSet presAssocID="{2FE9B768-D0EC-4828-AC06-70844BCDE386}" presName="hierChild5" presStyleCnt="0"/>
      <dgm:spPr/>
    </dgm:pt>
    <dgm:pt modelId="{98198E42-C30F-420E-B946-53853314286F}" type="pres">
      <dgm:prSet presAssocID="{E09D7419-A092-4C6B-9C47-0AC1AD84B6D9}" presName="hierChild5" presStyleCnt="0"/>
      <dgm:spPr/>
    </dgm:pt>
    <dgm:pt modelId="{2F956C99-7931-4ADB-8C82-EEFAE05D3865}" type="pres">
      <dgm:prSet presAssocID="{0FB8F989-84A5-47AC-BE06-4E63B00EC35F}" presName="hierChild5" presStyleCnt="0"/>
      <dgm:spPr/>
    </dgm:pt>
    <dgm:pt modelId="{9DC0039C-3ABC-49FB-999B-9397E4E18BE3}" type="pres">
      <dgm:prSet presAssocID="{D33E3E77-AE27-4CCB-928D-822C2612090F}" presName="hierChild3" presStyleCnt="0"/>
      <dgm:spPr/>
    </dgm:pt>
  </dgm:ptLst>
  <dgm:cxnLst>
    <dgm:cxn modelId="{00BA8D4C-FC05-4F0E-9DB2-C5F85603893D}" srcId="{D33E3E77-AE27-4CCB-928D-822C2612090F}" destId="{D871C360-CA73-42E4-A302-2741612E92C9}" srcOrd="0" destOrd="0" parTransId="{35D950A6-DA65-4722-86C6-5DAE21A3F41D}" sibTransId="{DDDF6B19-864F-42E2-A228-C2E56D3EDF9C}"/>
    <dgm:cxn modelId="{26635C86-940A-489B-A008-A6B49FAE7E72}" type="presOf" srcId="{0FB8F989-84A5-47AC-BE06-4E63B00EC35F}" destId="{11722988-3F8F-45D1-8122-1627D70C0B03}" srcOrd="1" destOrd="0" presId="urn:microsoft.com/office/officeart/2005/8/layout/orgChart1"/>
    <dgm:cxn modelId="{7613ACA3-70BD-4B39-829E-C68A597AD563}" srcId="{D871C360-CA73-42E4-A302-2741612E92C9}" destId="{FA120650-4268-45A3-B687-B6A87DFCECF0}" srcOrd="0" destOrd="0" parTransId="{2EB1F74D-7595-4987-AF27-275F2F1CB8D8}" sibTransId="{2D9BFECE-4330-49D8-AAB2-ACBB4123F2F9}"/>
    <dgm:cxn modelId="{C77B8E8E-6136-457C-9E14-A7BC7E26BF25}" type="presOf" srcId="{63185657-DF9F-407F-B838-E8B8D6714F8D}" destId="{CB37F974-F0B7-4E9A-96C8-EB3C1C141BDB}" srcOrd="0" destOrd="0" presId="urn:microsoft.com/office/officeart/2005/8/layout/orgChart1"/>
    <dgm:cxn modelId="{F793706F-16F8-41D3-92E3-C1AE32D154FA}" type="presOf" srcId="{E9882D14-14D8-400B-9576-61F5896BC0AE}" destId="{18C6D53C-436E-48DB-BE59-7FE74015D11C}" srcOrd="0" destOrd="0" presId="urn:microsoft.com/office/officeart/2005/8/layout/orgChart1"/>
    <dgm:cxn modelId="{C8A64444-4A26-42B9-A8B1-971B16F46235}" type="presOf" srcId="{D33E3E77-AE27-4CCB-928D-822C2612090F}" destId="{C7F4A749-E7EB-4CEC-AA20-6723DE52D9AD}" srcOrd="1" destOrd="0" presId="urn:microsoft.com/office/officeart/2005/8/layout/orgChart1"/>
    <dgm:cxn modelId="{F89CF315-9AE2-4C2F-BED8-E546FB4A22DC}" srcId="{0FB8F989-84A5-47AC-BE06-4E63B00EC35F}" destId="{E09D7419-A092-4C6B-9C47-0AC1AD84B6D9}" srcOrd="0" destOrd="0" parTransId="{0E7145F2-71FB-4E62-B776-34C88D847D07}" sibTransId="{4A8F31A4-6E0E-4E4A-9BCF-C044CFCB3A4D}"/>
    <dgm:cxn modelId="{02F01844-BFD1-4BF3-B168-FE8311BF8676}" type="presOf" srcId="{2EB1F74D-7595-4987-AF27-275F2F1CB8D8}" destId="{0CFAF786-F4EA-4AA8-8C6E-BEFAD425D248}" srcOrd="0" destOrd="0" presId="urn:microsoft.com/office/officeart/2005/8/layout/orgChart1"/>
    <dgm:cxn modelId="{63703CB8-23E2-4562-9F2D-48C09E72BAEA}" type="presOf" srcId="{827873AD-8A54-4405-8221-3124BA004CD2}" destId="{9AF99A19-4B38-45AC-9A54-284998134E10}" srcOrd="0" destOrd="0" presId="urn:microsoft.com/office/officeart/2005/8/layout/orgChart1"/>
    <dgm:cxn modelId="{CDA3D737-04CE-4177-8C3D-EC1B819225DD}" type="presOf" srcId="{FA120650-4268-45A3-B687-B6A87DFCECF0}" destId="{971D94B3-DE6C-415F-8E97-6206396F9197}" srcOrd="1" destOrd="0" presId="urn:microsoft.com/office/officeart/2005/8/layout/orgChart1"/>
    <dgm:cxn modelId="{4C0227C4-97CF-40A0-A5E1-C3BA2549CE93}" type="presOf" srcId="{35D950A6-DA65-4722-86C6-5DAE21A3F41D}" destId="{BC54B0B2-5C7D-4CA3-9939-221DAA9873C4}" srcOrd="0" destOrd="0" presId="urn:microsoft.com/office/officeart/2005/8/layout/orgChart1"/>
    <dgm:cxn modelId="{3FD66BC4-7356-47AB-86C5-12AFDA35D9FC}" srcId="{D33E3E77-AE27-4CCB-928D-822C2612090F}" destId="{0FB8F989-84A5-47AC-BE06-4E63B00EC35F}" srcOrd="1" destOrd="0" parTransId="{904277C1-3020-4ECF-9854-6BACDD5F5516}" sibTransId="{F9AF5CEC-669D-497C-8D22-5EB3DC8700A2}"/>
    <dgm:cxn modelId="{74AC4980-3F16-4DEA-BC4C-EB5F35E976B4}" type="presOf" srcId="{0F982F73-C5F1-402A-9A38-69729EF3B318}" destId="{AB99D7BA-19AB-41B2-90E8-9A53AC8AE3CB}" srcOrd="0" destOrd="0" presId="urn:microsoft.com/office/officeart/2005/8/layout/orgChart1"/>
    <dgm:cxn modelId="{014B06FE-BF6A-48B3-901B-432ADEFA3567}" srcId="{2FE9B768-D0EC-4828-AC06-70844BCDE386}" destId="{E7F3C00B-41D1-42BE-84B6-7AFBCA1FBCFC}" srcOrd="0" destOrd="0" parTransId="{827873AD-8A54-4405-8221-3124BA004CD2}" sibTransId="{B78311E8-C6FF-44CA-898F-92670AB420B7}"/>
    <dgm:cxn modelId="{947D1B01-467F-4A82-8B25-ED3749140F92}" type="presOf" srcId="{C71504C4-778E-4358-8959-A5F4760C62F1}" destId="{FA68E103-4B29-41CC-A11A-E9F5EDA5C4A3}" srcOrd="0" destOrd="0" presId="urn:microsoft.com/office/officeart/2005/8/layout/orgChart1"/>
    <dgm:cxn modelId="{632CE574-D791-4C09-911A-5EEDEED17B62}" type="presOf" srcId="{2FE9B768-D0EC-4828-AC06-70844BCDE386}" destId="{C57FAD25-33B5-4484-8FBF-A3C983309998}" srcOrd="1" destOrd="0" presId="urn:microsoft.com/office/officeart/2005/8/layout/orgChart1"/>
    <dgm:cxn modelId="{7F7E7C7D-7C52-483A-A104-380F55AD7B71}" srcId="{B796B42E-B477-48AE-AB11-5C54A27A7B66}" destId="{F8E3C57A-AB1F-4A84-958C-F251361B6024}" srcOrd="0" destOrd="0" parTransId="{31CAB3B6-8245-4DF4-8C9A-6840AA6DB980}" sibTransId="{7D0765AF-3C52-4E23-B60A-47490AF2654C}"/>
    <dgm:cxn modelId="{0FAEF3B7-68AD-4C31-A02D-D0CBFB8A0024}" type="presOf" srcId="{137C8963-05B4-4D82-B7FE-E38EB3425B09}" destId="{4C0CACA1-232C-4338-B572-67E7470766E7}" srcOrd="1" destOrd="0" presId="urn:microsoft.com/office/officeart/2005/8/layout/orgChart1"/>
    <dgm:cxn modelId="{C67CA301-9073-47C7-B111-CC1548F9E035}" srcId="{6E66315A-DE9C-47EE-9EE1-4E625920D07C}" destId="{B796B42E-B477-48AE-AB11-5C54A27A7B66}" srcOrd="0" destOrd="0" parTransId="{63185657-DF9F-407F-B838-E8B8D6714F8D}" sibTransId="{2E07D21E-33BF-42B1-B7A6-C568CEC8C31B}"/>
    <dgm:cxn modelId="{D2DCCEB3-036F-4B13-844F-20A68DFD3D35}" type="presOf" srcId="{137C8963-05B4-4D82-B7FE-E38EB3425B09}" destId="{07BDBC78-1761-434F-95A6-5A2FFC7934A6}" srcOrd="0" destOrd="0" presId="urn:microsoft.com/office/officeart/2005/8/layout/orgChart1"/>
    <dgm:cxn modelId="{D700309A-E9A4-4815-9DCA-88194EE53A3F}" type="presOf" srcId="{0E7145F2-71FB-4E62-B776-34C88D847D07}" destId="{3B1229F2-F1A4-478C-AA09-DB9A77424848}" srcOrd="0" destOrd="0" presId="urn:microsoft.com/office/officeart/2005/8/layout/orgChart1"/>
    <dgm:cxn modelId="{2C20B6BE-927F-42AD-9ABE-87177D621251}" type="presOf" srcId="{B796B42E-B477-48AE-AB11-5C54A27A7B66}" destId="{DA8FB37C-F2AE-40AB-AAC7-BAB7C846FC0D}" srcOrd="1" destOrd="0" presId="urn:microsoft.com/office/officeart/2005/8/layout/orgChart1"/>
    <dgm:cxn modelId="{003A68D4-679E-4AFF-BCCA-DDE82C4375F0}" type="presOf" srcId="{F8E3C57A-AB1F-4A84-958C-F251361B6024}" destId="{82403376-B01B-434B-868C-D48677344349}" srcOrd="1" destOrd="0" presId="urn:microsoft.com/office/officeart/2005/8/layout/orgChart1"/>
    <dgm:cxn modelId="{2ACE11E8-BAD3-4E39-A6D8-B942A2DEF856}" type="presOf" srcId="{9A6D75B7-2144-49F3-A167-C95777A9C47C}" destId="{A3D90D8C-C7E1-461A-BDA7-5BBBDDFFEC5A}" srcOrd="0" destOrd="0" presId="urn:microsoft.com/office/officeart/2005/8/layout/orgChart1"/>
    <dgm:cxn modelId="{AE05F057-E27C-44D7-9E38-C5D48B7C805D}" type="presOf" srcId="{6E66315A-DE9C-47EE-9EE1-4E625920D07C}" destId="{1B45D2DF-679C-4928-A507-063AD12B3763}" srcOrd="0" destOrd="0" presId="urn:microsoft.com/office/officeart/2005/8/layout/orgChart1"/>
    <dgm:cxn modelId="{AE049DC8-2AFA-4641-B983-FE49B9BB962E}" type="presOf" srcId="{E7F3C00B-41D1-42BE-84B6-7AFBCA1FBCFC}" destId="{08BD15EA-4CF8-4EE4-BF08-F3AE19F521D8}" srcOrd="1" destOrd="0" presId="urn:microsoft.com/office/officeart/2005/8/layout/orgChart1"/>
    <dgm:cxn modelId="{349DC225-50E9-478F-BBD0-A03FAADF3148}" type="presOf" srcId="{F8E3C57A-AB1F-4A84-958C-F251361B6024}" destId="{E2EB37DB-D94E-4460-A368-FD324341502C}" srcOrd="0" destOrd="0" presId="urn:microsoft.com/office/officeart/2005/8/layout/orgChart1"/>
    <dgm:cxn modelId="{CDBCED19-CE00-482E-AD93-5DB43E5B1AA3}" type="presOf" srcId="{E7F3C00B-41D1-42BE-84B6-7AFBCA1FBCFC}" destId="{D64D8278-B667-463D-9CC4-43A4A027B62D}" srcOrd="0" destOrd="0" presId="urn:microsoft.com/office/officeart/2005/8/layout/orgChart1"/>
    <dgm:cxn modelId="{E56EB3B2-A240-4ACD-ACCC-5118A693EC6B}" type="presOf" srcId="{D33E3E77-AE27-4CCB-928D-822C2612090F}" destId="{7B400037-4409-4E9A-912B-ECC7221043CE}" srcOrd="0" destOrd="0" presId="urn:microsoft.com/office/officeart/2005/8/layout/orgChart1"/>
    <dgm:cxn modelId="{03409209-15D0-4E92-997C-DD111B4C87A1}" type="presOf" srcId="{0FB8F989-84A5-47AC-BE06-4E63B00EC35F}" destId="{A4E58290-5B3D-43FC-9AB3-88A638E7723E}" srcOrd="0" destOrd="0" presId="urn:microsoft.com/office/officeart/2005/8/layout/orgChart1"/>
    <dgm:cxn modelId="{166DF5B7-C6DC-4D03-8770-CD13D36A66C8}" type="presOf" srcId="{FA120650-4268-45A3-B687-B6A87DFCECF0}" destId="{8BBFA3AC-EF93-44CE-BEA4-9E8CCBE4F09D}" srcOrd="0" destOrd="0" presId="urn:microsoft.com/office/officeart/2005/8/layout/orgChart1"/>
    <dgm:cxn modelId="{F76FD7AC-E1AE-4958-9FFB-4957D036375D}" srcId="{E09D7419-A092-4C6B-9C47-0AC1AD84B6D9}" destId="{2FE9B768-D0EC-4828-AC06-70844BCDE386}" srcOrd="1" destOrd="0" parTransId="{0F982F73-C5F1-402A-9A38-69729EF3B318}" sibTransId="{C79868CB-629B-41AE-BF51-96E531C66187}"/>
    <dgm:cxn modelId="{644CABF7-D583-4CF4-BC04-FAA6274259C1}" type="presOf" srcId="{2FE9B768-D0EC-4828-AC06-70844BCDE386}" destId="{FA3F7EB6-7396-4DCC-9B19-D0F7A289AB32}" srcOrd="0" destOrd="0" presId="urn:microsoft.com/office/officeart/2005/8/layout/orgChart1"/>
    <dgm:cxn modelId="{3EE969C4-C881-4027-B704-25BDE0FD9AF3}" type="presOf" srcId="{35FA1C8E-099A-4882-950C-E7C65902BB99}" destId="{A3EE1126-4BEF-4487-8365-B27F952FC891}" srcOrd="0" destOrd="0" presId="urn:microsoft.com/office/officeart/2005/8/layout/orgChart1"/>
    <dgm:cxn modelId="{99EBAF08-0E4B-441B-8E16-4BDECBA83E3A}" srcId="{E7F3C00B-41D1-42BE-84B6-7AFBCA1FBCFC}" destId="{137C8963-05B4-4D82-B7FE-E38EB3425B09}" srcOrd="0" destOrd="0" parTransId="{411EB9C6-51A9-4731-AF81-875E28CDD566}" sibTransId="{59939417-BFDC-427E-895B-11C86B47DA21}"/>
    <dgm:cxn modelId="{40DD0402-BFCB-40DD-95C5-7BB7CD857C88}" type="presOf" srcId="{E09D7419-A092-4C6B-9C47-0AC1AD84B6D9}" destId="{D9BC9151-76EB-48E2-BABD-2CBCCCA0A240}" srcOrd="0" destOrd="0" presId="urn:microsoft.com/office/officeart/2005/8/layout/orgChart1"/>
    <dgm:cxn modelId="{45DA994B-595D-4B5B-B2A4-EBF05ACFFC01}" srcId="{E09D7419-A092-4C6B-9C47-0AC1AD84B6D9}" destId="{6E66315A-DE9C-47EE-9EE1-4E625920D07C}" srcOrd="0" destOrd="0" parTransId="{9A6D75B7-2144-49F3-A167-C95777A9C47C}" sibTransId="{7F3B6CA1-3410-4BE2-B312-93129933017D}"/>
    <dgm:cxn modelId="{E039D667-C96F-42DA-9436-BF2AAA0EFB1C}" type="presOf" srcId="{D871C360-CA73-42E4-A302-2741612E92C9}" destId="{8A454474-C2AE-4BFB-B031-4BE1EAE9DDC2}" srcOrd="1" destOrd="0" presId="urn:microsoft.com/office/officeart/2005/8/layout/orgChart1"/>
    <dgm:cxn modelId="{1B9B955C-BB2C-4E5A-A34A-0ADD9C26BAB2}" type="presOf" srcId="{904277C1-3020-4ECF-9854-6BACDD5F5516}" destId="{A1EFD96C-DC2E-43C5-893D-3BE530DAF6E5}" srcOrd="0" destOrd="0" presId="urn:microsoft.com/office/officeart/2005/8/layout/orgChart1"/>
    <dgm:cxn modelId="{8ECB373D-322E-4357-B8E1-5A6E5D6F65B4}" type="presOf" srcId="{6E66315A-DE9C-47EE-9EE1-4E625920D07C}" destId="{13B2F61B-3A24-44C4-8458-225B3A3D61B7}" srcOrd="1" destOrd="0" presId="urn:microsoft.com/office/officeart/2005/8/layout/orgChart1"/>
    <dgm:cxn modelId="{844C0A2E-367C-4696-9328-7B2371CCB80C}" srcId="{FA120650-4268-45A3-B687-B6A87DFCECF0}" destId="{C71504C4-778E-4358-8959-A5F4760C62F1}" srcOrd="0" destOrd="0" parTransId="{35FA1C8E-099A-4882-950C-E7C65902BB99}" sibTransId="{7F97F4EE-CAA0-4B6A-9400-D99BEE162B4A}"/>
    <dgm:cxn modelId="{773A8899-778E-4A7A-B162-6018E8A57801}" srcId="{E9882D14-14D8-400B-9576-61F5896BC0AE}" destId="{D33E3E77-AE27-4CCB-928D-822C2612090F}" srcOrd="0" destOrd="0" parTransId="{EF610995-6845-4685-BFB4-4F851AF39482}" sibTransId="{C8B4B613-902B-470F-81DB-139EDEF05D4D}"/>
    <dgm:cxn modelId="{C39DF815-1A43-4127-8EFC-C6B1FE31D5A7}" type="presOf" srcId="{31CAB3B6-8245-4DF4-8C9A-6840AA6DB980}" destId="{122A06BE-9CD7-4E88-8762-9E134E48223B}" srcOrd="0" destOrd="0" presId="urn:microsoft.com/office/officeart/2005/8/layout/orgChart1"/>
    <dgm:cxn modelId="{E2301CDC-F7E8-47EE-933A-A36435C419E1}" type="presOf" srcId="{C71504C4-778E-4358-8959-A5F4760C62F1}" destId="{A9693C8E-B6BF-49D4-9DFB-C7E9B3BAF454}" srcOrd="1" destOrd="0" presId="urn:microsoft.com/office/officeart/2005/8/layout/orgChart1"/>
    <dgm:cxn modelId="{ABCAF17F-7627-48B8-8197-BFABAB6990CF}" type="presOf" srcId="{B796B42E-B477-48AE-AB11-5C54A27A7B66}" destId="{4372DAD3-FA7F-41A4-A32B-A64A05369A21}" srcOrd="0" destOrd="0" presId="urn:microsoft.com/office/officeart/2005/8/layout/orgChart1"/>
    <dgm:cxn modelId="{16063838-BD92-4A69-B63E-513161EB63D7}" type="presOf" srcId="{E09D7419-A092-4C6B-9C47-0AC1AD84B6D9}" destId="{433B77CE-9C88-4504-90DF-B12F41C69AFE}" srcOrd="1" destOrd="0" presId="urn:microsoft.com/office/officeart/2005/8/layout/orgChart1"/>
    <dgm:cxn modelId="{B8A34207-FD4F-496A-91BA-BA16CEDD1AD3}" type="presOf" srcId="{411EB9C6-51A9-4731-AF81-875E28CDD566}" destId="{A1951B5A-0DF0-43C9-8FAF-68AF2C048925}" srcOrd="0" destOrd="0" presId="urn:microsoft.com/office/officeart/2005/8/layout/orgChart1"/>
    <dgm:cxn modelId="{D0198AD8-02D4-4AB4-AB3C-53820C142045}" type="presOf" srcId="{D871C360-CA73-42E4-A302-2741612E92C9}" destId="{233F58D9-97C9-4229-90CE-C9E48013D3F8}" srcOrd="0" destOrd="0" presId="urn:microsoft.com/office/officeart/2005/8/layout/orgChart1"/>
    <dgm:cxn modelId="{5156C495-A0FD-4E68-9FA8-478CDC68F2D1}" type="presParOf" srcId="{18C6D53C-436E-48DB-BE59-7FE74015D11C}" destId="{86E970E6-D429-4072-9F0D-29899ED7B071}" srcOrd="0" destOrd="0" presId="urn:microsoft.com/office/officeart/2005/8/layout/orgChart1"/>
    <dgm:cxn modelId="{4B9C1284-7F68-4598-BB53-2CAE197971C5}" type="presParOf" srcId="{86E970E6-D429-4072-9F0D-29899ED7B071}" destId="{0A02DC70-E363-4751-A8A7-3BF1282BF2E2}" srcOrd="0" destOrd="0" presId="urn:microsoft.com/office/officeart/2005/8/layout/orgChart1"/>
    <dgm:cxn modelId="{995D2040-DDF0-4BFF-AB6E-F08935B98923}" type="presParOf" srcId="{0A02DC70-E363-4751-A8A7-3BF1282BF2E2}" destId="{7B400037-4409-4E9A-912B-ECC7221043CE}" srcOrd="0" destOrd="0" presId="urn:microsoft.com/office/officeart/2005/8/layout/orgChart1"/>
    <dgm:cxn modelId="{1451966B-02BC-4D98-985A-33AFCDCEC00E}" type="presParOf" srcId="{0A02DC70-E363-4751-A8A7-3BF1282BF2E2}" destId="{C7F4A749-E7EB-4CEC-AA20-6723DE52D9AD}" srcOrd="1" destOrd="0" presId="urn:microsoft.com/office/officeart/2005/8/layout/orgChart1"/>
    <dgm:cxn modelId="{750C6859-ED2B-4392-9962-0222586C7B4F}" type="presParOf" srcId="{86E970E6-D429-4072-9F0D-29899ED7B071}" destId="{1DC785D9-04C7-4B9B-BB89-708EA758342A}" srcOrd="1" destOrd="0" presId="urn:microsoft.com/office/officeart/2005/8/layout/orgChart1"/>
    <dgm:cxn modelId="{D9B792E9-AD2B-4D8E-9213-2AD90248FA05}" type="presParOf" srcId="{1DC785D9-04C7-4B9B-BB89-708EA758342A}" destId="{BC54B0B2-5C7D-4CA3-9939-221DAA9873C4}" srcOrd="0" destOrd="0" presId="urn:microsoft.com/office/officeart/2005/8/layout/orgChart1"/>
    <dgm:cxn modelId="{87ABEDD1-0915-43F6-9852-C8EE8689D858}" type="presParOf" srcId="{1DC785D9-04C7-4B9B-BB89-708EA758342A}" destId="{451AA6F1-3A72-493F-8351-42EF54C355FE}" srcOrd="1" destOrd="0" presId="urn:microsoft.com/office/officeart/2005/8/layout/orgChart1"/>
    <dgm:cxn modelId="{AE75D4F1-0071-4B1E-9DF1-29C97B7D6162}" type="presParOf" srcId="{451AA6F1-3A72-493F-8351-42EF54C355FE}" destId="{F2B377CD-FB1A-4355-9294-0DC9AF73D9CE}" srcOrd="0" destOrd="0" presId="urn:microsoft.com/office/officeart/2005/8/layout/orgChart1"/>
    <dgm:cxn modelId="{8038F4DB-BEB2-4E8B-987C-D837D0DD0B3D}" type="presParOf" srcId="{F2B377CD-FB1A-4355-9294-0DC9AF73D9CE}" destId="{233F58D9-97C9-4229-90CE-C9E48013D3F8}" srcOrd="0" destOrd="0" presId="urn:microsoft.com/office/officeart/2005/8/layout/orgChart1"/>
    <dgm:cxn modelId="{891A4816-AB86-41CB-BFE1-46C1749A0BD8}" type="presParOf" srcId="{F2B377CD-FB1A-4355-9294-0DC9AF73D9CE}" destId="{8A454474-C2AE-4BFB-B031-4BE1EAE9DDC2}" srcOrd="1" destOrd="0" presId="urn:microsoft.com/office/officeart/2005/8/layout/orgChart1"/>
    <dgm:cxn modelId="{34F73743-B3F2-492B-AE9C-F631B581DA4F}" type="presParOf" srcId="{451AA6F1-3A72-493F-8351-42EF54C355FE}" destId="{83D3CA64-2C28-4F34-8D24-9E2DF78FD573}" srcOrd="1" destOrd="0" presId="urn:microsoft.com/office/officeart/2005/8/layout/orgChart1"/>
    <dgm:cxn modelId="{B486CC81-C4D3-40F4-AFAB-46B8809D7180}" type="presParOf" srcId="{83D3CA64-2C28-4F34-8D24-9E2DF78FD573}" destId="{0CFAF786-F4EA-4AA8-8C6E-BEFAD425D248}" srcOrd="0" destOrd="0" presId="urn:microsoft.com/office/officeart/2005/8/layout/orgChart1"/>
    <dgm:cxn modelId="{532DDEDC-E1C9-4F3C-99B9-E07C27EB55E4}" type="presParOf" srcId="{83D3CA64-2C28-4F34-8D24-9E2DF78FD573}" destId="{05C4E57A-C8DE-46AB-A531-6AB6080EA154}" srcOrd="1" destOrd="0" presId="urn:microsoft.com/office/officeart/2005/8/layout/orgChart1"/>
    <dgm:cxn modelId="{31B25253-48D8-470D-AF2A-25E79C95D608}" type="presParOf" srcId="{05C4E57A-C8DE-46AB-A531-6AB6080EA154}" destId="{40EAC444-35AF-4052-86F9-A0EB2CEA41AD}" srcOrd="0" destOrd="0" presId="urn:microsoft.com/office/officeart/2005/8/layout/orgChart1"/>
    <dgm:cxn modelId="{EE5D4449-9DEA-4EFF-A6F5-D41E6C8B4979}" type="presParOf" srcId="{40EAC444-35AF-4052-86F9-A0EB2CEA41AD}" destId="{8BBFA3AC-EF93-44CE-BEA4-9E8CCBE4F09D}" srcOrd="0" destOrd="0" presId="urn:microsoft.com/office/officeart/2005/8/layout/orgChart1"/>
    <dgm:cxn modelId="{BCA5BDBB-19BB-4DBA-B235-E0159E608A90}" type="presParOf" srcId="{40EAC444-35AF-4052-86F9-A0EB2CEA41AD}" destId="{971D94B3-DE6C-415F-8E97-6206396F9197}" srcOrd="1" destOrd="0" presId="urn:microsoft.com/office/officeart/2005/8/layout/orgChart1"/>
    <dgm:cxn modelId="{405027D0-B92E-43AA-988A-62B7DE607FC1}" type="presParOf" srcId="{05C4E57A-C8DE-46AB-A531-6AB6080EA154}" destId="{0565B41D-F05E-4FA7-93C8-22684C970714}" srcOrd="1" destOrd="0" presId="urn:microsoft.com/office/officeart/2005/8/layout/orgChart1"/>
    <dgm:cxn modelId="{33A2E384-4DBF-4004-B972-AE2A74F4BECD}" type="presParOf" srcId="{0565B41D-F05E-4FA7-93C8-22684C970714}" destId="{A3EE1126-4BEF-4487-8365-B27F952FC891}" srcOrd="0" destOrd="0" presId="urn:microsoft.com/office/officeart/2005/8/layout/orgChart1"/>
    <dgm:cxn modelId="{5B1A9596-D6DA-4AE9-88AB-FDB73972DD70}" type="presParOf" srcId="{0565B41D-F05E-4FA7-93C8-22684C970714}" destId="{7BDB340E-0CBF-408B-AC11-BA7D4B05FF31}" srcOrd="1" destOrd="0" presId="urn:microsoft.com/office/officeart/2005/8/layout/orgChart1"/>
    <dgm:cxn modelId="{36F78F66-AA33-4F63-9FF3-65B3A7F6BD85}" type="presParOf" srcId="{7BDB340E-0CBF-408B-AC11-BA7D4B05FF31}" destId="{5366693B-DB79-435B-8A11-E02C2011DC44}" srcOrd="0" destOrd="0" presId="urn:microsoft.com/office/officeart/2005/8/layout/orgChart1"/>
    <dgm:cxn modelId="{259540CD-E1B6-46B5-B05C-898218BBCBC2}" type="presParOf" srcId="{5366693B-DB79-435B-8A11-E02C2011DC44}" destId="{FA68E103-4B29-41CC-A11A-E9F5EDA5C4A3}" srcOrd="0" destOrd="0" presId="urn:microsoft.com/office/officeart/2005/8/layout/orgChart1"/>
    <dgm:cxn modelId="{4C2EE8BF-9D8A-443E-980F-8609BEDCD20F}" type="presParOf" srcId="{5366693B-DB79-435B-8A11-E02C2011DC44}" destId="{A9693C8E-B6BF-49D4-9DFB-C7E9B3BAF454}" srcOrd="1" destOrd="0" presId="urn:microsoft.com/office/officeart/2005/8/layout/orgChart1"/>
    <dgm:cxn modelId="{40FAD72D-02A9-4107-86FA-DA4114820B98}" type="presParOf" srcId="{7BDB340E-0CBF-408B-AC11-BA7D4B05FF31}" destId="{C2C0F90B-F8F2-45BB-96E8-12113B7E602E}" srcOrd="1" destOrd="0" presId="urn:microsoft.com/office/officeart/2005/8/layout/orgChart1"/>
    <dgm:cxn modelId="{91A59D41-2A62-4F2C-AE4B-4433CBBA5C55}" type="presParOf" srcId="{7BDB340E-0CBF-408B-AC11-BA7D4B05FF31}" destId="{15FF35DF-9674-4A1D-84EB-4A2C607E54F9}" srcOrd="2" destOrd="0" presId="urn:microsoft.com/office/officeart/2005/8/layout/orgChart1"/>
    <dgm:cxn modelId="{B549CD34-283F-4A58-A7BE-9F7106F95279}" type="presParOf" srcId="{05C4E57A-C8DE-46AB-A531-6AB6080EA154}" destId="{DA82ED71-FAEF-474D-9E8D-10F6095DDA04}" srcOrd="2" destOrd="0" presId="urn:microsoft.com/office/officeart/2005/8/layout/orgChart1"/>
    <dgm:cxn modelId="{5931304C-8337-497F-821D-FB28A3792034}" type="presParOf" srcId="{451AA6F1-3A72-493F-8351-42EF54C355FE}" destId="{24539533-BD0D-4251-A846-1963957C1EBB}" srcOrd="2" destOrd="0" presId="urn:microsoft.com/office/officeart/2005/8/layout/orgChart1"/>
    <dgm:cxn modelId="{5D0ED859-A640-4DB4-8257-BC9EDC2823BF}" type="presParOf" srcId="{1DC785D9-04C7-4B9B-BB89-708EA758342A}" destId="{A1EFD96C-DC2E-43C5-893D-3BE530DAF6E5}" srcOrd="2" destOrd="0" presId="urn:microsoft.com/office/officeart/2005/8/layout/orgChart1"/>
    <dgm:cxn modelId="{ECD1CD8E-7B65-4321-900E-B576585DCAB6}" type="presParOf" srcId="{1DC785D9-04C7-4B9B-BB89-708EA758342A}" destId="{B280C4FE-C6E7-44A5-94C8-BB541DB7906B}" srcOrd="3" destOrd="0" presId="urn:microsoft.com/office/officeart/2005/8/layout/orgChart1"/>
    <dgm:cxn modelId="{B93D3B95-823F-4A61-9960-712E83E80EE2}" type="presParOf" srcId="{B280C4FE-C6E7-44A5-94C8-BB541DB7906B}" destId="{9FC1EA21-DD7B-4938-B196-44983B03CD8C}" srcOrd="0" destOrd="0" presId="urn:microsoft.com/office/officeart/2005/8/layout/orgChart1"/>
    <dgm:cxn modelId="{C458D86A-0DB3-4EA6-85FA-362D6579ADBD}" type="presParOf" srcId="{9FC1EA21-DD7B-4938-B196-44983B03CD8C}" destId="{A4E58290-5B3D-43FC-9AB3-88A638E7723E}" srcOrd="0" destOrd="0" presId="urn:microsoft.com/office/officeart/2005/8/layout/orgChart1"/>
    <dgm:cxn modelId="{25E69AE9-2356-439E-808B-6823FA080C69}" type="presParOf" srcId="{9FC1EA21-DD7B-4938-B196-44983B03CD8C}" destId="{11722988-3F8F-45D1-8122-1627D70C0B03}" srcOrd="1" destOrd="0" presId="urn:microsoft.com/office/officeart/2005/8/layout/orgChart1"/>
    <dgm:cxn modelId="{25676814-6359-43B4-9AF3-BE9A3B72C4E5}" type="presParOf" srcId="{B280C4FE-C6E7-44A5-94C8-BB541DB7906B}" destId="{C08DB268-36FE-43A5-B732-B3DC02C73075}" srcOrd="1" destOrd="0" presId="urn:microsoft.com/office/officeart/2005/8/layout/orgChart1"/>
    <dgm:cxn modelId="{B8FACD0D-7B2A-490C-92CD-ECD4C799DE11}" type="presParOf" srcId="{C08DB268-36FE-43A5-B732-B3DC02C73075}" destId="{3B1229F2-F1A4-478C-AA09-DB9A77424848}" srcOrd="0" destOrd="0" presId="urn:microsoft.com/office/officeart/2005/8/layout/orgChart1"/>
    <dgm:cxn modelId="{F023AB25-B957-42EB-9D57-5575FC297F18}" type="presParOf" srcId="{C08DB268-36FE-43A5-B732-B3DC02C73075}" destId="{B467962F-7E9C-4186-9A98-F9E48995F56D}" srcOrd="1" destOrd="0" presId="urn:microsoft.com/office/officeart/2005/8/layout/orgChart1"/>
    <dgm:cxn modelId="{AC67664E-7DCF-4999-83E0-0C14B82968FD}" type="presParOf" srcId="{B467962F-7E9C-4186-9A98-F9E48995F56D}" destId="{15BB4EA7-74B0-49F5-86BA-C24AED1F4C78}" srcOrd="0" destOrd="0" presId="urn:microsoft.com/office/officeart/2005/8/layout/orgChart1"/>
    <dgm:cxn modelId="{E420830A-A535-491D-99BD-9B96E38AE930}" type="presParOf" srcId="{15BB4EA7-74B0-49F5-86BA-C24AED1F4C78}" destId="{D9BC9151-76EB-48E2-BABD-2CBCCCA0A240}" srcOrd="0" destOrd="0" presId="urn:microsoft.com/office/officeart/2005/8/layout/orgChart1"/>
    <dgm:cxn modelId="{07405B9C-CF29-4526-A643-A889472A40E1}" type="presParOf" srcId="{15BB4EA7-74B0-49F5-86BA-C24AED1F4C78}" destId="{433B77CE-9C88-4504-90DF-B12F41C69AFE}" srcOrd="1" destOrd="0" presId="urn:microsoft.com/office/officeart/2005/8/layout/orgChart1"/>
    <dgm:cxn modelId="{BAEB7CEA-AE75-4F1F-8636-3475BC7E45D5}" type="presParOf" srcId="{B467962F-7E9C-4186-9A98-F9E48995F56D}" destId="{190AB56B-D86D-4EA5-8441-FC297D43937E}" srcOrd="1" destOrd="0" presId="urn:microsoft.com/office/officeart/2005/8/layout/orgChart1"/>
    <dgm:cxn modelId="{069F191B-F8D5-43A6-9055-184DE01D6FA1}" type="presParOf" srcId="{190AB56B-D86D-4EA5-8441-FC297D43937E}" destId="{A3D90D8C-C7E1-461A-BDA7-5BBBDDFFEC5A}" srcOrd="0" destOrd="0" presId="urn:microsoft.com/office/officeart/2005/8/layout/orgChart1"/>
    <dgm:cxn modelId="{99C355D4-CF6B-4A56-8992-08F7D9D0CAED}" type="presParOf" srcId="{190AB56B-D86D-4EA5-8441-FC297D43937E}" destId="{11B82A68-9BA1-4FAA-A757-296C5DFB90E2}" srcOrd="1" destOrd="0" presId="urn:microsoft.com/office/officeart/2005/8/layout/orgChart1"/>
    <dgm:cxn modelId="{6EC94371-5D91-4611-8216-0C43AFE93909}" type="presParOf" srcId="{11B82A68-9BA1-4FAA-A757-296C5DFB90E2}" destId="{7E271FF4-A89A-4A2C-9111-AB739471620E}" srcOrd="0" destOrd="0" presId="urn:microsoft.com/office/officeart/2005/8/layout/orgChart1"/>
    <dgm:cxn modelId="{725BA896-7F03-4237-88FB-90277C876835}" type="presParOf" srcId="{7E271FF4-A89A-4A2C-9111-AB739471620E}" destId="{1B45D2DF-679C-4928-A507-063AD12B3763}" srcOrd="0" destOrd="0" presId="urn:microsoft.com/office/officeart/2005/8/layout/orgChart1"/>
    <dgm:cxn modelId="{5AD0C953-24DB-464C-8C13-78FD134B74B8}" type="presParOf" srcId="{7E271FF4-A89A-4A2C-9111-AB739471620E}" destId="{13B2F61B-3A24-44C4-8458-225B3A3D61B7}" srcOrd="1" destOrd="0" presId="urn:microsoft.com/office/officeart/2005/8/layout/orgChart1"/>
    <dgm:cxn modelId="{B3044E0D-0271-4709-A3DD-4176F12AF813}" type="presParOf" srcId="{11B82A68-9BA1-4FAA-A757-296C5DFB90E2}" destId="{0FE6CF31-2B17-437A-8D1D-16B856FF15DC}" srcOrd="1" destOrd="0" presId="urn:microsoft.com/office/officeart/2005/8/layout/orgChart1"/>
    <dgm:cxn modelId="{830AD0AF-E4F9-4DD9-8C09-C5695007E8E7}" type="presParOf" srcId="{0FE6CF31-2B17-437A-8D1D-16B856FF15DC}" destId="{CB37F974-F0B7-4E9A-96C8-EB3C1C141BDB}" srcOrd="0" destOrd="0" presId="urn:microsoft.com/office/officeart/2005/8/layout/orgChart1"/>
    <dgm:cxn modelId="{55C310DF-473D-4B07-817D-07C5A00CD0D8}" type="presParOf" srcId="{0FE6CF31-2B17-437A-8D1D-16B856FF15DC}" destId="{252A5C64-1387-4E72-A594-E1A23F0B6C77}" srcOrd="1" destOrd="0" presId="urn:microsoft.com/office/officeart/2005/8/layout/orgChart1"/>
    <dgm:cxn modelId="{30E7E1E3-AF7A-4F61-A387-C48C09DE5150}" type="presParOf" srcId="{252A5C64-1387-4E72-A594-E1A23F0B6C77}" destId="{8BDA2053-2C60-4FB7-A1BE-AE9C09740F57}" srcOrd="0" destOrd="0" presId="urn:microsoft.com/office/officeart/2005/8/layout/orgChart1"/>
    <dgm:cxn modelId="{E818DCAF-1700-4F5E-BF5D-3D822DB8F7DA}" type="presParOf" srcId="{8BDA2053-2C60-4FB7-A1BE-AE9C09740F57}" destId="{4372DAD3-FA7F-41A4-A32B-A64A05369A21}" srcOrd="0" destOrd="0" presId="urn:microsoft.com/office/officeart/2005/8/layout/orgChart1"/>
    <dgm:cxn modelId="{53EBAF63-30DB-4ABE-AED3-61DAAA896AF8}" type="presParOf" srcId="{8BDA2053-2C60-4FB7-A1BE-AE9C09740F57}" destId="{DA8FB37C-F2AE-40AB-AAC7-BAB7C846FC0D}" srcOrd="1" destOrd="0" presId="urn:microsoft.com/office/officeart/2005/8/layout/orgChart1"/>
    <dgm:cxn modelId="{DADB3049-43EF-41ED-914D-26C59B7C107B}" type="presParOf" srcId="{252A5C64-1387-4E72-A594-E1A23F0B6C77}" destId="{F081F356-F3E2-4F36-BD1B-D0175B68ABE1}" srcOrd="1" destOrd="0" presId="urn:microsoft.com/office/officeart/2005/8/layout/orgChart1"/>
    <dgm:cxn modelId="{9A7F8978-BD3D-4EF5-9297-8FAAF71C1E25}" type="presParOf" srcId="{F081F356-F3E2-4F36-BD1B-D0175B68ABE1}" destId="{122A06BE-9CD7-4E88-8762-9E134E48223B}" srcOrd="0" destOrd="0" presId="urn:microsoft.com/office/officeart/2005/8/layout/orgChart1"/>
    <dgm:cxn modelId="{6A24BB95-EC3B-4E41-BD80-54871C48456A}" type="presParOf" srcId="{F081F356-F3E2-4F36-BD1B-D0175B68ABE1}" destId="{B91A812D-F242-472E-8769-2A3E3F4D30E6}" srcOrd="1" destOrd="0" presId="urn:microsoft.com/office/officeart/2005/8/layout/orgChart1"/>
    <dgm:cxn modelId="{7D7C72D9-449B-437E-A89B-56879342C30F}" type="presParOf" srcId="{B91A812D-F242-472E-8769-2A3E3F4D30E6}" destId="{12676861-4707-4DFE-8A37-AAC312D022F2}" srcOrd="0" destOrd="0" presId="urn:microsoft.com/office/officeart/2005/8/layout/orgChart1"/>
    <dgm:cxn modelId="{541FF522-494B-496B-A85B-E147D089E461}" type="presParOf" srcId="{12676861-4707-4DFE-8A37-AAC312D022F2}" destId="{E2EB37DB-D94E-4460-A368-FD324341502C}" srcOrd="0" destOrd="0" presId="urn:microsoft.com/office/officeart/2005/8/layout/orgChart1"/>
    <dgm:cxn modelId="{7AA17CD4-CAA1-4945-8862-BD50F1A6041A}" type="presParOf" srcId="{12676861-4707-4DFE-8A37-AAC312D022F2}" destId="{82403376-B01B-434B-868C-D48677344349}" srcOrd="1" destOrd="0" presId="urn:microsoft.com/office/officeart/2005/8/layout/orgChart1"/>
    <dgm:cxn modelId="{3405136B-85E8-41FA-AF78-D28BAF7C66E5}" type="presParOf" srcId="{B91A812D-F242-472E-8769-2A3E3F4D30E6}" destId="{252FFD13-BEF0-4B64-B58A-7A8862FA860D}" srcOrd="1" destOrd="0" presId="urn:microsoft.com/office/officeart/2005/8/layout/orgChart1"/>
    <dgm:cxn modelId="{7BAA1B15-30CC-42D9-922A-36B917F8AA83}" type="presParOf" srcId="{B91A812D-F242-472E-8769-2A3E3F4D30E6}" destId="{567C0BEE-6B2C-4904-B739-EAE43AD97529}" srcOrd="2" destOrd="0" presId="urn:microsoft.com/office/officeart/2005/8/layout/orgChart1"/>
    <dgm:cxn modelId="{730594C6-4C0F-4434-95E7-BBC928F5075A}" type="presParOf" srcId="{252A5C64-1387-4E72-A594-E1A23F0B6C77}" destId="{5643E8F8-DF3F-4A7B-8936-ED99D772AF3F}" srcOrd="2" destOrd="0" presId="urn:microsoft.com/office/officeart/2005/8/layout/orgChart1"/>
    <dgm:cxn modelId="{C9289B55-7277-4A58-9912-35AE8A8235EA}" type="presParOf" srcId="{11B82A68-9BA1-4FAA-A757-296C5DFB90E2}" destId="{A78BA05E-B32C-4005-A2AA-D2A42F100910}" srcOrd="2" destOrd="0" presId="urn:microsoft.com/office/officeart/2005/8/layout/orgChart1"/>
    <dgm:cxn modelId="{464F8412-A3F5-41FC-8BBD-76420248C4D1}" type="presParOf" srcId="{190AB56B-D86D-4EA5-8441-FC297D43937E}" destId="{AB99D7BA-19AB-41B2-90E8-9A53AC8AE3CB}" srcOrd="2" destOrd="0" presId="urn:microsoft.com/office/officeart/2005/8/layout/orgChart1"/>
    <dgm:cxn modelId="{7BDCF89C-4824-4543-A097-81E2150108FE}" type="presParOf" srcId="{190AB56B-D86D-4EA5-8441-FC297D43937E}" destId="{59AC2527-5FBA-482F-8668-C6EE8C77A2CD}" srcOrd="3" destOrd="0" presId="urn:microsoft.com/office/officeart/2005/8/layout/orgChart1"/>
    <dgm:cxn modelId="{74D0FB4C-1338-4A7E-A911-7AF961BD3A7A}" type="presParOf" srcId="{59AC2527-5FBA-482F-8668-C6EE8C77A2CD}" destId="{6C522F30-7EAD-4F95-81FA-9B834AB0AA6E}" srcOrd="0" destOrd="0" presId="urn:microsoft.com/office/officeart/2005/8/layout/orgChart1"/>
    <dgm:cxn modelId="{1F82639A-DD02-45DF-B341-503BD353C89E}" type="presParOf" srcId="{6C522F30-7EAD-4F95-81FA-9B834AB0AA6E}" destId="{FA3F7EB6-7396-4DCC-9B19-D0F7A289AB32}" srcOrd="0" destOrd="0" presId="urn:microsoft.com/office/officeart/2005/8/layout/orgChart1"/>
    <dgm:cxn modelId="{BD9E70DA-5C85-4D86-A716-FB8424C763FE}" type="presParOf" srcId="{6C522F30-7EAD-4F95-81FA-9B834AB0AA6E}" destId="{C57FAD25-33B5-4484-8FBF-A3C983309998}" srcOrd="1" destOrd="0" presId="urn:microsoft.com/office/officeart/2005/8/layout/orgChart1"/>
    <dgm:cxn modelId="{2A9DDC82-52CC-4F34-9E73-18EA393A5923}" type="presParOf" srcId="{59AC2527-5FBA-482F-8668-C6EE8C77A2CD}" destId="{36F98722-5CFD-41E4-94A7-E761813A96B6}" srcOrd="1" destOrd="0" presId="urn:microsoft.com/office/officeart/2005/8/layout/orgChart1"/>
    <dgm:cxn modelId="{A343D78A-A4CF-439C-B9FF-64DFCEE5D255}" type="presParOf" srcId="{36F98722-5CFD-41E4-94A7-E761813A96B6}" destId="{9AF99A19-4B38-45AC-9A54-284998134E10}" srcOrd="0" destOrd="0" presId="urn:microsoft.com/office/officeart/2005/8/layout/orgChart1"/>
    <dgm:cxn modelId="{A94A8A9F-20B7-43FB-AA63-147AB17B83C9}" type="presParOf" srcId="{36F98722-5CFD-41E4-94A7-E761813A96B6}" destId="{87F2524A-C859-49C4-97E0-A27B8D007913}" srcOrd="1" destOrd="0" presId="urn:microsoft.com/office/officeart/2005/8/layout/orgChart1"/>
    <dgm:cxn modelId="{AC01D19D-07A4-4943-A955-6490D6BB4638}" type="presParOf" srcId="{87F2524A-C859-49C4-97E0-A27B8D007913}" destId="{F89EF892-C820-4191-B171-AB6868803A7E}" srcOrd="0" destOrd="0" presId="urn:microsoft.com/office/officeart/2005/8/layout/orgChart1"/>
    <dgm:cxn modelId="{9EF26168-FBB7-41DF-9EC9-B312E8BFF625}" type="presParOf" srcId="{F89EF892-C820-4191-B171-AB6868803A7E}" destId="{D64D8278-B667-463D-9CC4-43A4A027B62D}" srcOrd="0" destOrd="0" presId="urn:microsoft.com/office/officeart/2005/8/layout/orgChart1"/>
    <dgm:cxn modelId="{79FFC0AA-5653-4E63-9918-3708D0E64C4D}" type="presParOf" srcId="{F89EF892-C820-4191-B171-AB6868803A7E}" destId="{08BD15EA-4CF8-4EE4-BF08-F3AE19F521D8}" srcOrd="1" destOrd="0" presId="urn:microsoft.com/office/officeart/2005/8/layout/orgChart1"/>
    <dgm:cxn modelId="{904B3B09-5076-4E41-ACBB-270484853F71}" type="presParOf" srcId="{87F2524A-C859-49C4-97E0-A27B8D007913}" destId="{EF7C2518-1497-4A79-8C9E-16CB405A0157}" srcOrd="1" destOrd="0" presId="urn:microsoft.com/office/officeart/2005/8/layout/orgChart1"/>
    <dgm:cxn modelId="{C5EF3822-94D0-4388-ACB1-9C695FC59187}" type="presParOf" srcId="{EF7C2518-1497-4A79-8C9E-16CB405A0157}" destId="{A1951B5A-0DF0-43C9-8FAF-68AF2C048925}" srcOrd="0" destOrd="0" presId="urn:microsoft.com/office/officeart/2005/8/layout/orgChart1"/>
    <dgm:cxn modelId="{7713C414-BDE6-4BAA-B695-983A5FF1ABBB}" type="presParOf" srcId="{EF7C2518-1497-4A79-8C9E-16CB405A0157}" destId="{78DBF761-8057-414B-ACB8-378947479FF1}" srcOrd="1" destOrd="0" presId="urn:microsoft.com/office/officeart/2005/8/layout/orgChart1"/>
    <dgm:cxn modelId="{DB17C9F6-10B3-481E-B2CB-F71C52C583A2}" type="presParOf" srcId="{78DBF761-8057-414B-ACB8-378947479FF1}" destId="{CEFE6CC5-D3F3-4052-8B22-8462B68FCF48}" srcOrd="0" destOrd="0" presId="urn:microsoft.com/office/officeart/2005/8/layout/orgChart1"/>
    <dgm:cxn modelId="{3F248C8A-5B1B-434E-BF76-B4A85BAE2032}" type="presParOf" srcId="{CEFE6CC5-D3F3-4052-8B22-8462B68FCF48}" destId="{07BDBC78-1761-434F-95A6-5A2FFC7934A6}" srcOrd="0" destOrd="0" presId="urn:microsoft.com/office/officeart/2005/8/layout/orgChart1"/>
    <dgm:cxn modelId="{DFEC0617-9ECE-4EBE-BD3B-65D2A19C080F}" type="presParOf" srcId="{CEFE6CC5-D3F3-4052-8B22-8462B68FCF48}" destId="{4C0CACA1-232C-4338-B572-67E7470766E7}" srcOrd="1" destOrd="0" presId="urn:microsoft.com/office/officeart/2005/8/layout/orgChart1"/>
    <dgm:cxn modelId="{EADC5495-3D57-433E-9D86-E5D4E8F557E7}" type="presParOf" srcId="{78DBF761-8057-414B-ACB8-378947479FF1}" destId="{001D72C3-F6F2-47E4-93A8-2515E6BF600F}" srcOrd="1" destOrd="0" presId="urn:microsoft.com/office/officeart/2005/8/layout/orgChart1"/>
    <dgm:cxn modelId="{563B1794-423D-47BD-9350-CE46EEAF1FA3}" type="presParOf" srcId="{78DBF761-8057-414B-ACB8-378947479FF1}" destId="{95931A72-3F9F-4736-ABC0-E6D04E065CFC}" srcOrd="2" destOrd="0" presId="urn:microsoft.com/office/officeart/2005/8/layout/orgChart1"/>
    <dgm:cxn modelId="{5B33ED92-EA65-45D3-992C-1143AB30BDA4}" type="presParOf" srcId="{87F2524A-C859-49C4-97E0-A27B8D007913}" destId="{E5E1B455-D4E3-4E3E-ACF5-5D8F9EE17395}" srcOrd="2" destOrd="0" presId="urn:microsoft.com/office/officeart/2005/8/layout/orgChart1"/>
    <dgm:cxn modelId="{2486A09F-B798-447D-916D-69995E88922D}" type="presParOf" srcId="{59AC2527-5FBA-482F-8668-C6EE8C77A2CD}" destId="{41A1C886-ED74-4205-9A33-DBF456EDF311}" srcOrd="2" destOrd="0" presId="urn:microsoft.com/office/officeart/2005/8/layout/orgChart1"/>
    <dgm:cxn modelId="{461B6C82-7C09-4906-BCA9-08880A3AB473}" type="presParOf" srcId="{B467962F-7E9C-4186-9A98-F9E48995F56D}" destId="{98198E42-C30F-420E-B946-53853314286F}" srcOrd="2" destOrd="0" presId="urn:microsoft.com/office/officeart/2005/8/layout/orgChart1"/>
    <dgm:cxn modelId="{DEC6D1FC-B6A3-410B-B527-728779D974C9}" type="presParOf" srcId="{B280C4FE-C6E7-44A5-94C8-BB541DB7906B}" destId="{2F956C99-7931-4ADB-8C82-EEFAE05D3865}" srcOrd="2" destOrd="0" presId="urn:microsoft.com/office/officeart/2005/8/layout/orgChart1"/>
    <dgm:cxn modelId="{132BC2DA-4404-4DEC-B0AF-4D9BE6B02FB3}" type="presParOf" srcId="{86E970E6-D429-4072-9F0D-29899ED7B071}" destId="{9DC0039C-3ABC-49FB-999B-9397E4E18BE3}"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951B5A-0DF0-43C9-8FAF-68AF2C048925}">
      <dsp:nvSpPr>
        <dsp:cNvPr id="0" name=""/>
        <dsp:cNvSpPr/>
      </dsp:nvSpPr>
      <dsp:spPr>
        <a:xfrm>
          <a:off x="4072221" y="3498875"/>
          <a:ext cx="157038" cy="481585"/>
        </a:xfrm>
        <a:custGeom>
          <a:avLst/>
          <a:gdLst/>
          <a:ahLst/>
          <a:cxnLst/>
          <a:rect l="0" t="0" r="0" b="0"/>
          <a:pathLst>
            <a:path>
              <a:moveTo>
                <a:pt x="0" y="0"/>
              </a:moveTo>
              <a:lnTo>
                <a:pt x="0" y="363142"/>
              </a:lnTo>
              <a:lnTo>
                <a:pt x="118416" y="36314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F99A19-4B38-45AC-9A54-284998134E10}">
      <dsp:nvSpPr>
        <dsp:cNvPr id="0" name=""/>
        <dsp:cNvSpPr/>
      </dsp:nvSpPr>
      <dsp:spPr>
        <a:xfrm>
          <a:off x="4445271" y="2755559"/>
          <a:ext cx="91440" cy="219854"/>
        </a:xfrm>
        <a:custGeom>
          <a:avLst/>
          <a:gdLst/>
          <a:ahLst/>
          <a:cxnLst/>
          <a:rect l="0" t="0" r="0" b="0"/>
          <a:pathLst>
            <a:path>
              <a:moveTo>
                <a:pt x="45720" y="0"/>
              </a:moveTo>
              <a:lnTo>
                <a:pt x="45720" y="1657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99D7BA-19AB-41B2-90E8-9A53AC8AE3CB}">
      <dsp:nvSpPr>
        <dsp:cNvPr id="0" name=""/>
        <dsp:cNvSpPr/>
      </dsp:nvSpPr>
      <dsp:spPr>
        <a:xfrm>
          <a:off x="3857601" y="2012242"/>
          <a:ext cx="633389" cy="219854"/>
        </a:xfrm>
        <a:custGeom>
          <a:avLst/>
          <a:gdLst/>
          <a:ahLst/>
          <a:cxnLst/>
          <a:rect l="0" t="0" r="0" b="0"/>
          <a:pathLst>
            <a:path>
              <a:moveTo>
                <a:pt x="0" y="0"/>
              </a:moveTo>
              <a:lnTo>
                <a:pt x="0" y="82891"/>
              </a:lnTo>
              <a:lnTo>
                <a:pt x="477611" y="82891"/>
              </a:lnTo>
              <a:lnTo>
                <a:pt x="477611" y="1657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2A06BE-9CD7-4E88-8762-9E134E48223B}">
      <dsp:nvSpPr>
        <dsp:cNvPr id="0" name=""/>
        <dsp:cNvSpPr/>
      </dsp:nvSpPr>
      <dsp:spPr>
        <a:xfrm>
          <a:off x="2805442" y="3498875"/>
          <a:ext cx="157038" cy="481585"/>
        </a:xfrm>
        <a:custGeom>
          <a:avLst/>
          <a:gdLst/>
          <a:ahLst/>
          <a:cxnLst/>
          <a:rect l="0" t="0" r="0" b="0"/>
          <a:pathLst>
            <a:path>
              <a:moveTo>
                <a:pt x="0" y="0"/>
              </a:moveTo>
              <a:lnTo>
                <a:pt x="0" y="363142"/>
              </a:lnTo>
              <a:lnTo>
                <a:pt x="118416" y="36314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37F974-F0B7-4E9A-96C8-EB3C1C141BDB}">
      <dsp:nvSpPr>
        <dsp:cNvPr id="0" name=""/>
        <dsp:cNvSpPr/>
      </dsp:nvSpPr>
      <dsp:spPr>
        <a:xfrm>
          <a:off x="3178492" y="2755559"/>
          <a:ext cx="91440" cy="219854"/>
        </a:xfrm>
        <a:custGeom>
          <a:avLst/>
          <a:gdLst/>
          <a:ahLst/>
          <a:cxnLst/>
          <a:rect l="0" t="0" r="0" b="0"/>
          <a:pathLst>
            <a:path>
              <a:moveTo>
                <a:pt x="45720" y="0"/>
              </a:moveTo>
              <a:lnTo>
                <a:pt x="45720" y="1657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D90D8C-C7E1-461A-BDA7-5BBBDDFFEC5A}">
      <dsp:nvSpPr>
        <dsp:cNvPr id="0" name=""/>
        <dsp:cNvSpPr/>
      </dsp:nvSpPr>
      <dsp:spPr>
        <a:xfrm>
          <a:off x="3224212" y="2012242"/>
          <a:ext cx="633389" cy="219854"/>
        </a:xfrm>
        <a:custGeom>
          <a:avLst/>
          <a:gdLst/>
          <a:ahLst/>
          <a:cxnLst/>
          <a:rect l="0" t="0" r="0" b="0"/>
          <a:pathLst>
            <a:path>
              <a:moveTo>
                <a:pt x="477611" y="0"/>
              </a:moveTo>
              <a:lnTo>
                <a:pt x="477611" y="82891"/>
              </a:lnTo>
              <a:lnTo>
                <a:pt x="0" y="82891"/>
              </a:lnTo>
              <a:lnTo>
                <a:pt x="0" y="1657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1229F2-F1A4-478C-AA09-DB9A77424848}">
      <dsp:nvSpPr>
        <dsp:cNvPr id="0" name=""/>
        <dsp:cNvSpPr/>
      </dsp:nvSpPr>
      <dsp:spPr>
        <a:xfrm>
          <a:off x="3811881" y="1268926"/>
          <a:ext cx="91440" cy="219854"/>
        </a:xfrm>
        <a:custGeom>
          <a:avLst/>
          <a:gdLst/>
          <a:ahLst/>
          <a:cxnLst/>
          <a:rect l="0" t="0" r="0" b="0"/>
          <a:pathLst>
            <a:path>
              <a:moveTo>
                <a:pt x="45720" y="0"/>
              </a:moveTo>
              <a:lnTo>
                <a:pt x="45720" y="1657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EFD96C-DC2E-43C5-893D-3BE530DAF6E5}">
      <dsp:nvSpPr>
        <dsp:cNvPr id="0" name=""/>
        <dsp:cNvSpPr/>
      </dsp:nvSpPr>
      <dsp:spPr>
        <a:xfrm>
          <a:off x="2776652" y="525610"/>
          <a:ext cx="1080949" cy="219854"/>
        </a:xfrm>
        <a:custGeom>
          <a:avLst/>
          <a:gdLst/>
          <a:ahLst/>
          <a:cxnLst/>
          <a:rect l="0" t="0" r="0" b="0"/>
          <a:pathLst>
            <a:path>
              <a:moveTo>
                <a:pt x="0" y="0"/>
              </a:moveTo>
              <a:lnTo>
                <a:pt x="0" y="82891"/>
              </a:lnTo>
              <a:lnTo>
                <a:pt x="815096" y="82891"/>
              </a:lnTo>
              <a:lnTo>
                <a:pt x="815096" y="16578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EE1126-4BEF-4487-8365-B27F952FC891}">
      <dsp:nvSpPr>
        <dsp:cNvPr id="0" name=""/>
        <dsp:cNvSpPr/>
      </dsp:nvSpPr>
      <dsp:spPr>
        <a:xfrm>
          <a:off x="1276932" y="2012242"/>
          <a:ext cx="157038" cy="481585"/>
        </a:xfrm>
        <a:custGeom>
          <a:avLst/>
          <a:gdLst/>
          <a:ahLst/>
          <a:cxnLst/>
          <a:rect l="0" t="0" r="0" b="0"/>
          <a:pathLst>
            <a:path>
              <a:moveTo>
                <a:pt x="0" y="0"/>
              </a:moveTo>
              <a:lnTo>
                <a:pt x="0" y="363142"/>
              </a:lnTo>
              <a:lnTo>
                <a:pt x="118416" y="36314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FAF786-F4EA-4AA8-8C6E-BEFAD425D248}">
      <dsp:nvSpPr>
        <dsp:cNvPr id="0" name=""/>
        <dsp:cNvSpPr/>
      </dsp:nvSpPr>
      <dsp:spPr>
        <a:xfrm>
          <a:off x="1649982" y="1268926"/>
          <a:ext cx="91440" cy="219854"/>
        </a:xfrm>
        <a:custGeom>
          <a:avLst/>
          <a:gdLst/>
          <a:ahLst/>
          <a:cxnLst/>
          <a:rect l="0" t="0" r="0" b="0"/>
          <a:pathLst>
            <a:path>
              <a:moveTo>
                <a:pt x="45720" y="0"/>
              </a:moveTo>
              <a:lnTo>
                <a:pt x="45720" y="1657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54B0B2-5C7D-4CA3-9939-221DAA9873C4}">
      <dsp:nvSpPr>
        <dsp:cNvPr id="0" name=""/>
        <dsp:cNvSpPr/>
      </dsp:nvSpPr>
      <dsp:spPr>
        <a:xfrm>
          <a:off x="1695702" y="525610"/>
          <a:ext cx="1080949" cy="219854"/>
        </a:xfrm>
        <a:custGeom>
          <a:avLst/>
          <a:gdLst/>
          <a:ahLst/>
          <a:cxnLst/>
          <a:rect l="0" t="0" r="0" b="0"/>
          <a:pathLst>
            <a:path>
              <a:moveTo>
                <a:pt x="815096" y="0"/>
              </a:moveTo>
              <a:lnTo>
                <a:pt x="815096" y="82891"/>
              </a:lnTo>
              <a:lnTo>
                <a:pt x="0" y="82891"/>
              </a:lnTo>
              <a:lnTo>
                <a:pt x="0" y="16578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400037-4409-4E9A-912B-ECC7221043CE}">
      <dsp:nvSpPr>
        <dsp:cNvPr id="0" name=""/>
        <dsp:cNvSpPr/>
      </dsp:nvSpPr>
      <dsp:spPr>
        <a:xfrm>
          <a:off x="2253190" y="2147"/>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Anticorpi </a:t>
          </a:r>
          <a:endParaRPr lang="ro-RO" sz="1000" kern="1200">
            <a:solidFill>
              <a:sysClr val="window" lastClr="FFFFFF"/>
            </a:solidFill>
            <a:latin typeface="Calibri" panose="020F0502020204030204"/>
            <a:ea typeface="+mn-ea"/>
            <a:cs typeface="+mn-cs"/>
          </a:endParaRPr>
        </a:p>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anti-VHC</a:t>
          </a:r>
          <a:endParaRPr lang="ru-RU" sz="1000" kern="1200">
            <a:solidFill>
              <a:sysClr val="window" lastClr="FFFFFF"/>
            </a:solidFill>
            <a:latin typeface="Calibri" panose="020F0502020204030204"/>
            <a:ea typeface="+mn-ea"/>
            <a:cs typeface="+mn-cs"/>
          </a:endParaRPr>
        </a:p>
      </dsp:txBody>
      <dsp:txXfrm>
        <a:off x="2253190" y="2147"/>
        <a:ext cx="1046924" cy="523462"/>
      </dsp:txXfrm>
    </dsp:sp>
    <dsp:sp modelId="{233F58D9-97C9-4229-90CE-C9E48013D3F8}">
      <dsp:nvSpPr>
        <dsp:cNvPr id="0" name=""/>
        <dsp:cNvSpPr/>
      </dsp:nvSpPr>
      <dsp:spPr>
        <a:xfrm>
          <a:off x="1172240" y="745464"/>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Nonreactiv</a:t>
          </a:r>
          <a:endParaRPr lang="ru-RU" sz="1000" kern="1200">
            <a:solidFill>
              <a:sysClr val="window" lastClr="FFFFFF"/>
            </a:solidFill>
            <a:latin typeface="Calibri" panose="020F0502020204030204"/>
            <a:ea typeface="+mn-ea"/>
            <a:cs typeface="+mn-cs"/>
          </a:endParaRPr>
        </a:p>
      </dsp:txBody>
      <dsp:txXfrm>
        <a:off x="1172240" y="745464"/>
        <a:ext cx="1046924" cy="523462"/>
      </dsp:txXfrm>
    </dsp:sp>
    <dsp:sp modelId="{8BBFA3AC-EF93-44CE-BEA4-9E8CCBE4F09D}">
      <dsp:nvSpPr>
        <dsp:cNvPr id="0" name=""/>
        <dsp:cNvSpPr/>
      </dsp:nvSpPr>
      <dsp:spPr>
        <a:xfrm>
          <a:off x="1172240" y="1488780"/>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o-RO" sz="1000" kern="1200">
              <a:solidFill>
                <a:sysClr val="window" lastClr="FFFFFF"/>
              </a:solidFill>
              <a:latin typeface="Calibri" panose="020F0502020204030204"/>
              <a:ea typeface="+mn-ea"/>
              <a:cs typeface="+mn-cs"/>
            </a:rPr>
            <a:t>Nu sunt prezenți anticorpii</a:t>
          </a:r>
        </a:p>
        <a:p>
          <a:pPr lvl="0" algn="ctr" defTabSz="444500">
            <a:lnSpc>
              <a:spcPct val="90000"/>
            </a:lnSpc>
            <a:spcBef>
              <a:spcPct val="0"/>
            </a:spcBef>
            <a:spcAft>
              <a:spcPct val="35000"/>
            </a:spcAft>
            <a:buNone/>
          </a:pPr>
          <a:r>
            <a:rPr lang="ro-RO" sz="1000" kern="1200">
              <a:solidFill>
                <a:sysClr val="window" lastClr="FFFFFF"/>
              </a:solidFill>
              <a:latin typeface="Calibri" panose="020F0502020204030204"/>
              <a:ea typeface="+mn-ea"/>
              <a:cs typeface="+mn-cs"/>
            </a:rPr>
            <a:t>anti-VHC</a:t>
          </a:r>
          <a:endParaRPr lang="ru-RU" sz="1000" kern="1200">
            <a:solidFill>
              <a:sysClr val="window" lastClr="FFFFFF"/>
            </a:solidFill>
            <a:latin typeface="Calibri" panose="020F0502020204030204"/>
            <a:ea typeface="+mn-ea"/>
            <a:cs typeface="+mn-cs"/>
          </a:endParaRPr>
        </a:p>
      </dsp:txBody>
      <dsp:txXfrm>
        <a:off x="1172240" y="1488780"/>
        <a:ext cx="1046924" cy="523462"/>
      </dsp:txXfrm>
    </dsp:sp>
    <dsp:sp modelId="{FA68E103-4B29-41CC-A11A-E9F5EDA5C4A3}">
      <dsp:nvSpPr>
        <dsp:cNvPr id="0" name=""/>
        <dsp:cNvSpPr/>
      </dsp:nvSpPr>
      <dsp:spPr>
        <a:xfrm>
          <a:off x="1433971" y="2232097"/>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o-RO" sz="1000" kern="1200">
              <a:solidFill>
                <a:sysClr val="window" lastClr="FFFFFF"/>
              </a:solidFill>
              <a:latin typeface="Calibri" panose="020F0502020204030204"/>
              <a:ea typeface="+mn-ea"/>
              <a:cs typeface="+mn-cs"/>
            </a:rPr>
            <a:t>STOP cercetări</a:t>
          </a:r>
          <a:endParaRPr lang="ru-RU" sz="1000" kern="1200">
            <a:solidFill>
              <a:sysClr val="window" lastClr="FFFFFF"/>
            </a:solidFill>
            <a:latin typeface="Calibri" panose="020F0502020204030204"/>
            <a:ea typeface="+mn-ea"/>
            <a:cs typeface="+mn-cs"/>
          </a:endParaRPr>
        </a:p>
      </dsp:txBody>
      <dsp:txXfrm>
        <a:off x="1433971" y="2232097"/>
        <a:ext cx="1046924" cy="523462"/>
      </dsp:txXfrm>
    </dsp:sp>
    <dsp:sp modelId="{A4E58290-5B3D-43FC-9AB3-88A638E7723E}">
      <dsp:nvSpPr>
        <dsp:cNvPr id="0" name=""/>
        <dsp:cNvSpPr/>
      </dsp:nvSpPr>
      <dsp:spPr>
        <a:xfrm>
          <a:off x="3334139" y="745464"/>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Reactiv</a:t>
          </a:r>
          <a:endParaRPr lang="ru-RU" sz="1000" kern="1200">
            <a:solidFill>
              <a:sysClr val="window" lastClr="FFFFFF"/>
            </a:solidFill>
            <a:latin typeface="Calibri" panose="020F0502020204030204"/>
            <a:ea typeface="+mn-ea"/>
            <a:cs typeface="+mn-cs"/>
          </a:endParaRPr>
        </a:p>
      </dsp:txBody>
      <dsp:txXfrm>
        <a:off x="3334139" y="745464"/>
        <a:ext cx="1046924" cy="523462"/>
      </dsp:txXfrm>
    </dsp:sp>
    <dsp:sp modelId="{D9BC9151-76EB-48E2-BABD-2CBCCCA0A240}">
      <dsp:nvSpPr>
        <dsp:cNvPr id="0" name=""/>
        <dsp:cNvSpPr/>
      </dsp:nvSpPr>
      <dsp:spPr>
        <a:xfrm>
          <a:off x="3334139" y="1488780"/>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Se efectueaza ARN-VHC</a:t>
          </a:r>
          <a:endParaRPr lang="ru-RU" sz="1000" kern="1200">
            <a:solidFill>
              <a:sysClr val="window" lastClr="FFFFFF"/>
            </a:solidFill>
            <a:latin typeface="Calibri" panose="020F0502020204030204"/>
            <a:ea typeface="+mn-ea"/>
            <a:cs typeface="+mn-cs"/>
          </a:endParaRPr>
        </a:p>
      </dsp:txBody>
      <dsp:txXfrm>
        <a:off x="3334139" y="1488780"/>
        <a:ext cx="1046924" cy="523462"/>
      </dsp:txXfrm>
    </dsp:sp>
    <dsp:sp modelId="{1B45D2DF-679C-4928-A507-063AD12B3763}">
      <dsp:nvSpPr>
        <dsp:cNvPr id="0" name=""/>
        <dsp:cNvSpPr/>
      </dsp:nvSpPr>
      <dsp:spPr>
        <a:xfrm>
          <a:off x="2700750" y="2232097"/>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ARN-VHC </a:t>
          </a:r>
          <a:endParaRPr lang="ro-RO" sz="1000" kern="1200">
            <a:solidFill>
              <a:sysClr val="window" lastClr="FFFFFF"/>
            </a:solidFill>
            <a:latin typeface="Calibri" panose="020F0502020204030204"/>
            <a:ea typeface="+mn-ea"/>
            <a:cs typeface="+mn-cs"/>
          </a:endParaRPr>
        </a:p>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D</a:t>
          </a:r>
          <a:r>
            <a:rPr lang="ro-RO" sz="1000" kern="1200">
              <a:solidFill>
                <a:sysClr val="window" lastClr="FFFFFF"/>
              </a:solidFill>
              <a:latin typeface="Calibri" panose="020F0502020204030204"/>
              <a:ea typeface="+mn-ea"/>
              <a:cs typeface="+mn-cs"/>
            </a:rPr>
            <a:t>ete</a:t>
          </a:r>
          <a:r>
            <a:rPr lang="en-US" sz="1000" kern="1200">
              <a:solidFill>
                <a:sysClr val="window" lastClr="FFFFFF"/>
              </a:solidFill>
              <a:latin typeface="Calibri" panose="020F0502020204030204"/>
              <a:ea typeface="+mn-ea"/>
              <a:cs typeface="+mn-cs"/>
            </a:rPr>
            <a:t>ctat +</a:t>
          </a:r>
          <a:endParaRPr lang="ru-RU" sz="1000" kern="1200">
            <a:solidFill>
              <a:sysClr val="window" lastClr="FFFFFF"/>
            </a:solidFill>
            <a:latin typeface="Calibri" panose="020F0502020204030204"/>
            <a:ea typeface="+mn-ea"/>
            <a:cs typeface="+mn-cs"/>
          </a:endParaRPr>
        </a:p>
      </dsp:txBody>
      <dsp:txXfrm>
        <a:off x="2700750" y="2232097"/>
        <a:ext cx="1046924" cy="523462"/>
      </dsp:txXfrm>
    </dsp:sp>
    <dsp:sp modelId="{4372DAD3-FA7F-41A4-A32B-A64A05369A21}">
      <dsp:nvSpPr>
        <dsp:cNvPr id="0" name=""/>
        <dsp:cNvSpPr/>
      </dsp:nvSpPr>
      <dsp:spPr>
        <a:xfrm>
          <a:off x="2700750" y="2975413"/>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Infec</a:t>
          </a:r>
          <a:r>
            <a:rPr lang="ro-RO" sz="1000" kern="1200">
              <a:solidFill>
                <a:sysClr val="window" lastClr="FFFFFF"/>
              </a:solidFill>
              <a:latin typeface="Calibri" panose="020F0502020204030204"/>
              <a:ea typeface="+mn-ea"/>
              <a:cs typeface="+mn-cs"/>
            </a:rPr>
            <a:t>ți</a:t>
          </a:r>
          <a:r>
            <a:rPr lang="en-US" sz="1000" kern="1200">
              <a:solidFill>
                <a:sysClr val="window" lastClr="FFFFFF"/>
              </a:solidFill>
              <a:latin typeface="Calibri" panose="020F0502020204030204"/>
              <a:ea typeface="+mn-ea"/>
              <a:cs typeface="+mn-cs"/>
            </a:rPr>
            <a:t>e curent</a:t>
          </a:r>
          <a:r>
            <a:rPr lang="ro-RO" sz="1000" kern="1200">
              <a:solidFill>
                <a:sysClr val="window" lastClr="FFFFFF"/>
              </a:solidFill>
              <a:latin typeface="Calibri" panose="020F0502020204030204"/>
              <a:ea typeface="+mn-ea"/>
              <a:cs typeface="+mn-cs"/>
            </a:rPr>
            <a:t>ă </a:t>
          </a:r>
          <a:r>
            <a:rPr lang="en-US" sz="1000" kern="1200">
              <a:solidFill>
                <a:sysClr val="window" lastClr="FFFFFF"/>
              </a:solidFill>
              <a:latin typeface="Calibri" panose="020F0502020204030204"/>
              <a:ea typeface="+mn-ea"/>
              <a:cs typeface="+mn-cs"/>
            </a:rPr>
            <a:t>cu virusul hepatitei C</a:t>
          </a:r>
          <a:endParaRPr lang="ru-RU" sz="1000" kern="1200">
            <a:solidFill>
              <a:sysClr val="window" lastClr="FFFFFF"/>
            </a:solidFill>
            <a:latin typeface="Calibri" panose="020F0502020204030204"/>
            <a:ea typeface="+mn-ea"/>
            <a:cs typeface="+mn-cs"/>
          </a:endParaRPr>
        </a:p>
      </dsp:txBody>
      <dsp:txXfrm>
        <a:off x="2700750" y="2975413"/>
        <a:ext cx="1046924" cy="523462"/>
      </dsp:txXfrm>
    </dsp:sp>
    <dsp:sp modelId="{E2EB37DB-D94E-4460-A368-FD324341502C}">
      <dsp:nvSpPr>
        <dsp:cNvPr id="0" name=""/>
        <dsp:cNvSpPr/>
      </dsp:nvSpPr>
      <dsp:spPr>
        <a:xfrm>
          <a:off x="2962481" y="3718729"/>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o-RO" sz="1000" kern="1200">
              <a:solidFill>
                <a:sysClr val="window" lastClr="FFFFFF"/>
              </a:solidFill>
              <a:latin typeface="Calibri" panose="020F0502020204030204"/>
              <a:ea typeface="+mn-ea"/>
              <a:cs typeface="+mn-cs"/>
            </a:rPr>
            <a:t>Se indică tratament</a:t>
          </a:r>
          <a:endParaRPr lang="ru-RU" sz="1000" kern="1200">
            <a:solidFill>
              <a:sysClr val="window" lastClr="FFFFFF"/>
            </a:solidFill>
            <a:latin typeface="Calibri" panose="020F0502020204030204"/>
            <a:ea typeface="+mn-ea"/>
            <a:cs typeface="+mn-cs"/>
          </a:endParaRPr>
        </a:p>
      </dsp:txBody>
      <dsp:txXfrm>
        <a:off x="2962481" y="3718729"/>
        <a:ext cx="1046924" cy="523462"/>
      </dsp:txXfrm>
    </dsp:sp>
    <dsp:sp modelId="{FA3F7EB6-7396-4DCC-9B19-D0F7A289AB32}">
      <dsp:nvSpPr>
        <dsp:cNvPr id="0" name=""/>
        <dsp:cNvSpPr/>
      </dsp:nvSpPr>
      <dsp:spPr>
        <a:xfrm>
          <a:off x="3967528" y="2232097"/>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ARN-VHC Nedetectat -</a:t>
          </a:r>
          <a:endParaRPr lang="ru-RU" sz="1000" kern="1200">
            <a:solidFill>
              <a:sysClr val="window" lastClr="FFFFFF"/>
            </a:solidFill>
            <a:latin typeface="Calibri" panose="020F0502020204030204"/>
            <a:ea typeface="+mn-ea"/>
            <a:cs typeface="+mn-cs"/>
          </a:endParaRPr>
        </a:p>
      </dsp:txBody>
      <dsp:txXfrm>
        <a:off x="3967528" y="2232097"/>
        <a:ext cx="1046924" cy="523462"/>
      </dsp:txXfrm>
    </dsp:sp>
    <dsp:sp modelId="{D64D8278-B667-463D-9CC4-43A4A027B62D}">
      <dsp:nvSpPr>
        <dsp:cNvPr id="0" name=""/>
        <dsp:cNvSpPr/>
      </dsp:nvSpPr>
      <dsp:spPr>
        <a:xfrm>
          <a:off x="3967528" y="2975413"/>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Nu </a:t>
          </a:r>
          <a:r>
            <a:rPr lang="ro-RO" sz="1000" kern="1200">
              <a:solidFill>
                <a:sysClr val="window" lastClr="FFFFFF"/>
              </a:solidFill>
              <a:latin typeface="Calibri" panose="020F0502020204030204"/>
              <a:ea typeface="+mn-ea"/>
              <a:cs typeface="+mn-cs"/>
            </a:rPr>
            <a:t>se constată</a:t>
          </a:r>
          <a:r>
            <a:rPr lang="en-US" sz="1000" kern="1200">
              <a:solidFill>
                <a:sysClr val="window" lastClr="FFFFFF"/>
              </a:solidFill>
              <a:latin typeface="Calibri" panose="020F0502020204030204"/>
              <a:ea typeface="+mn-ea"/>
              <a:cs typeface="+mn-cs"/>
            </a:rPr>
            <a:t> infe</a:t>
          </a:r>
          <a:r>
            <a:rPr lang="ro-RO" sz="1000" kern="1200">
              <a:solidFill>
                <a:sysClr val="window" lastClr="FFFFFF"/>
              </a:solidFill>
              <a:latin typeface="Calibri" panose="020F0502020204030204"/>
              <a:ea typeface="+mn-ea"/>
              <a:cs typeface="+mn-cs"/>
            </a:rPr>
            <a:t>cție curentă</a:t>
          </a:r>
          <a:endParaRPr lang="ru-RU" sz="1000" kern="1200">
            <a:solidFill>
              <a:sysClr val="window" lastClr="FFFFFF"/>
            </a:solidFill>
            <a:latin typeface="Calibri" panose="020F0502020204030204"/>
            <a:ea typeface="+mn-ea"/>
            <a:cs typeface="+mn-cs"/>
          </a:endParaRPr>
        </a:p>
      </dsp:txBody>
      <dsp:txXfrm>
        <a:off x="3967528" y="2975413"/>
        <a:ext cx="1046924" cy="523462"/>
      </dsp:txXfrm>
    </dsp:sp>
    <dsp:sp modelId="{07BDBC78-1761-434F-95A6-5A2FFC7934A6}">
      <dsp:nvSpPr>
        <dsp:cNvPr id="0" name=""/>
        <dsp:cNvSpPr/>
      </dsp:nvSpPr>
      <dsp:spPr>
        <a:xfrm>
          <a:off x="4229259" y="3718729"/>
          <a:ext cx="1046924" cy="5234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o-RO" sz="1000" kern="1200">
              <a:solidFill>
                <a:sysClr val="window" lastClr="FFFFFF"/>
              </a:solidFill>
              <a:latin typeface="Calibri" panose="020F0502020204030204"/>
              <a:ea typeface="+mn-ea"/>
              <a:cs typeface="+mn-cs"/>
            </a:rPr>
            <a:t>T</a:t>
          </a:r>
          <a:r>
            <a:rPr lang="en-US" sz="1000" kern="1200">
              <a:solidFill>
                <a:sysClr val="window" lastClr="FFFFFF"/>
              </a:solidFill>
              <a:latin typeface="Calibri" panose="020F0502020204030204"/>
              <a:ea typeface="+mn-ea"/>
              <a:cs typeface="+mn-cs"/>
            </a:rPr>
            <a:t>estare suplimentară, după caz</a:t>
          </a:r>
          <a:endParaRPr lang="ru-RU" sz="1000" kern="1200">
            <a:solidFill>
              <a:sysClr val="window" lastClr="FFFFFF"/>
            </a:solidFill>
            <a:latin typeface="Calibri" panose="020F0502020204030204"/>
            <a:ea typeface="+mn-ea"/>
            <a:cs typeface="+mn-cs"/>
          </a:endParaRPr>
        </a:p>
      </dsp:txBody>
      <dsp:txXfrm>
        <a:off x="4229259" y="3718729"/>
        <a:ext cx="1046924" cy="5234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E7D65-02CD-44EA-A78D-0BB75B04E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76</Pages>
  <Words>29238</Words>
  <Characters>166663</Characters>
  <Application>Microsoft Office Word</Application>
  <DocSecurity>0</DocSecurity>
  <Lines>1388</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Utilizator 1</cp:lastModifiedBy>
  <cp:revision>38</cp:revision>
  <cp:lastPrinted>2025-03-25T12:47:00Z</cp:lastPrinted>
  <dcterms:created xsi:type="dcterms:W3CDTF">2025-02-20T18:59:00Z</dcterms:created>
  <dcterms:modified xsi:type="dcterms:W3CDTF">2025-04-23T06:02:00Z</dcterms:modified>
</cp:coreProperties>
</file>